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755" w:rsidRPr="00AA54B6" w:rsidRDefault="00A0098B" w:rsidP="00AA54B6">
      <w:r w:rsidRPr="00A0098B">
        <w:rPr>
          <w:rFonts w:ascii="Arial" w:hAnsi="Arial" w:cs="Arial"/>
          <w:b/>
          <w:bCs/>
          <w:caps/>
          <w:noProof/>
          <w:sz w:val="44"/>
          <w:szCs w:val="44"/>
        </w:rPr>
        <w:pict>
          <v:roundrect id="_x0000_s1026" style="position:absolute;margin-left:136.05pt;margin-top:-50.45pt;width:237.8pt;height:47.2pt;z-index:251658240;visibility:visible" arcsize="10923f" fillcolor="#c6d9f1 [671]" strokecolor="black [3040]">
            <v:fill color2="#d9d9d9 [496]" rotate="t"/>
            <v:textbox style="mso-next-textbox:#_x0000_s1026">
              <w:txbxContent>
                <w:p w:rsidR="00696755" w:rsidRPr="00312B11" w:rsidRDefault="00696755" w:rsidP="00696755">
                  <w:pPr>
                    <w:jc w:val="center"/>
                    <w:rPr>
                      <w:rFonts w:ascii="Arial" w:hAnsi="Arial" w:cs="Arial"/>
                      <w:b/>
                      <w:bCs/>
                      <w:caps/>
                      <w:sz w:val="56"/>
                      <w:szCs w:val="56"/>
                    </w:rPr>
                  </w:pPr>
                  <w:r w:rsidRPr="00312B11">
                    <w:rPr>
                      <w:rFonts w:ascii="Arial" w:hAnsi="Arial" w:cs="Arial"/>
                      <w:b/>
                      <w:bCs/>
                      <w:caps/>
                      <w:sz w:val="56"/>
                      <w:szCs w:val="56"/>
                    </w:rPr>
                    <w:t>bREVET</w:t>
                  </w:r>
                </w:p>
                <w:p w:rsidR="00696755" w:rsidRDefault="00696755" w:rsidP="00696755">
                  <w:pPr>
                    <w:jc w:val="center"/>
                    <w:rPr>
                      <w:i/>
                      <w:iCs/>
                      <w:color w:val="000000"/>
                      <w:sz w:val="28"/>
                      <w:szCs w:val="28"/>
                    </w:rPr>
                  </w:pPr>
                </w:p>
                <w:p w:rsidR="00696755" w:rsidRPr="001C529D" w:rsidRDefault="00696755" w:rsidP="00696755">
                  <w:pPr>
                    <w:bidi/>
                    <w:jc w:val="center"/>
                    <w:rPr>
                      <w:bCs/>
                      <w:color w:val="000000" w:themeColor="text1"/>
                      <w:sz w:val="28"/>
                      <w:szCs w:val="28"/>
                      <w:rtl/>
                      <w:lang w:bidi="ar-DZ"/>
                    </w:rPr>
                  </w:pPr>
                </w:p>
                <w:p w:rsidR="00696755" w:rsidRPr="001C529D" w:rsidRDefault="00696755" w:rsidP="00696755">
                  <w:pPr>
                    <w:bidi/>
                    <w:jc w:val="center"/>
                    <w:rPr>
                      <w:color w:val="000000" w:themeColor="text1"/>
                      <w:rtl/>
                      <w:lang w:bidi="ar-DZ"/>
                    </w:rPr>
                  </w:pPr>
                </w:p>
                <w:p w:rsidR="00696755" w:rsidRPr="001C529D" w:rsidRDefault="00696755" w:rsidP="00696755">
                  <w:pPr>
                    <w:bidi/>
                    <w:jc w:val="center"/>
                    <w:rPr>
                      <w:color w:val="000000" w:themeColor="text1"/>
                      <w:rtl/>
                      <w:lang w:bidi="ar-DZ"/>
                    </w:rPr>
                  </w:pPr>
                </w:p>
                <w:p w:rsidR="00696755" w:rsidRPr="001C529D" w:rsidRDefault="00696755" w:rsidP="00696755">
                  <w:pPr>
                    <w:bidi/>
                    <w:jc w:val="center"/>
                    <w:rPr>
                      <w:color w:val="000000" w:themeColor="text1"/>
                      <w:rtl/>
                      <w:lang w:bidi="ar-DZ"/>
                    </w:rPr>
                  </w:pPr>
                </w:p>
                <w:p w:rsidR="00696755" w:rsidRPr="001C529D" w:rsidRDefault="00696755" w:rsidP="00696755">
                  <w:pPr>
                    <w:bidi/>
                    <w:jc w:val="center"/>
                    <w:rPr>
                      <w:color w:val="000000" w:themeColor="text1"/>
                      <w:rtl/>
                      <w:lang w:bidi="ar-DZ"/>
                    </w:rPr>
                  </w:pPr>
                </w:p>
                <w:p w:rsidR="00696755" w:rsidRPr="001C529D" w:rsidRDefault="00696755" w:rsidP="00696755">
                  <w:pPr>
                    <w:bidi/>
                    <w:jc w:val="center"/>
                    <w:rPr>
                      <w:color w:val="000000" w:themeColor="text1"/>
                      <w:rtl/>
                      <w:lang w:bidi="ar-DZ"/>
                    </w:rPr>
                  </w:pPr>
                </w:p>
                <w:p w:rsidR="00696755" w:rsidRPr="001C529D" w:rsidRDefault="00696755" w:rsidP="00696755">
                  <w:pPr>
                    <w:bidi/>
                    <w:rPr>
                      <w:color w:val="000000" w:themeColor="text1"/>
                      <w:rtl/>
                      <w:lang w:bidi="ar-DZ"/>
                    </w:rPr>
                  </w:pPr>
                </w:p>
                <w:p w:rsidR="00696755" w:rsidRPr="001C529D" w:rsidRDefault="00696755" w:rsidP="00696755">
                  <w:pPr>
                    <w:bidi/>
                    <w:rPr>
                      <w:color w:val="000000" w:themeColor="text1"/>
                      <w:rtl/>
                      <w:lang w:bidi="ar-DZ"/>
                    </w:rPr>
                  </w:pPr>
                </w:p>
              </w:txbxContent>
            </v:textbox>
            <w10:wrap type="square"/>
          </v:roundrect>
        </w:pict>
      </w:r>
      <w:r w:rsidR="00696755" w:rsidRPr="00EE6C1E">
        <w:rPr>
          <w:b/>
          <w:bCs/>
          <w:sz w:val="28"/>
          <w:szCs w:val="28"/>
          <w:u w:val="single"/>
        </w:rPr>
        <w:t>Intitulé : </w:t>
      </w:r>
      <w:r w:rsidR="00696755" w:rsidRPr="00EE6C1E">
        <w:rPr>
          <w:b/>
          <w:bCs/>
          <w:sz w:val="28"/>
          <w:szCs w:val="28"/>
        </w:rPr>
        <w:t xml:space="preserve">«  </w:t>
      </w:r>
      <w:r w:rsidR="00696755" w:rsidRPr="00EE6C1E">
        <w:rPr>
          <w:b/>
          <w:bCs/>
          <w:i/>
          <w:iCs/>
          <w:sz w:val="28"/>
          <w:szCs w:val="28"/>
        </w:rPr>
        <w:t>Matrice pour un séparateur électromagnétique  à haut gradient</w:t>
      </w:r>
      <w:r w:rsidR="00696755" w:rsidRPr="00EE6C1E">
        <w:rPr>
          <w:b/>
          <w:bCs/>
          <w:sz w:val="28"/>
          <w:szCs w:val="28"/>
        </w:rPr>
        <w:t> »  Certificat N°: 1740069 ; URSS; Moscou 02/04/1990.</w:t>
      </w:r>
      <w:r w:rsidR="00B357EA" w:rsidRPr="00B357EA">
        <w:t xml:space="preserve"> </w:t>
      </w:r>
      <w:hyperlink r:id="rId4" w:history="1">
        <w:r w:rsidR="00B357EA">
          <w:rPr>
            <w:rStyle w:val="Hyperlink"/>
          </w:rPr>
          <w:t>https://yandex.ru/patents/doc/SU1740069A1_19920615</w:t>
        </w:r>
      </w:hyperlink>
    </w:p>
    <w:p w:rsidR="00696755" w:rsidRDefault="00696755" w:rsidP="00696755">
      <w:pPr>
        <w:rPr>
          <w:b/>
          <w:bCs/>
          <w:sz w:val="28"/>
          <w:szCs w:val="28"/>
        </w:rPr>
      </w:pPr>
    </w:p>
    <w:p w:rsidR="00696755" w:rsidRDefault="00804480" w:rsidP="00804480">
      <w:pPr>
        <w:jc w:val="center"/>
        <w:rPr>
          <w:b/>
          <w:bCs/>
          <w:sz w:val="28"/>
          <w:szCs w:val="28"/>
        </w:rPr>
      </w:pPr>
      <w:r w:rsidRPr="00804480">
        <w:rPr>
          <w:b/>
          <w:bCs/>
          <w:noProof/>
          <w:sz w:val="28"/>
          <w:szCs w:val="28"/>
        </w:rPr>
        <w:drawing>
          <wp:inline distT="0" distB="0" distL="0" distR="0">
            <wp:extent cx="5587657" cy="7728537"/>
            <wp:effectExtent l="19050" t="0" r="0" b="0"/>
            <wp:docPr id="1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5608182" cy="7756925"/>
                    </a:xfrm>
                    <a:prstGeom prst="rect">
                      <a:avLst/>
                    </a:prstGeom>
                    <a:noFill/>
                    <a:ln w="9525">
                      <a:noFill/>
                      <a:miter lim="800000"/>
                      <a:headEnd/>
                      <a:tailEnd/>
                    </a:ln>
                  </pic:spPr>
                </pic:pic>
              </a:graphicData>
            </a:graphic>
          </wp:inline>
        </w:drawing>
      </w:r>
    </w:p>
    <w:p w:rsidR="00804480" w:rsidRDefault="00804480" w:rsidP="00696755">
      <w:pPr>
        <w:pStyle w:val="a3"/>
        <w:jc w:val="center"/>
        <w:rPr>
          <w:i/>
          <w:iCs/>
          <w:sz w:val="40"/>
          <w:szCs w:val="40"/>
          <w:u w:val="single"/>
        </w:rPr>
      </w:pPr>
    </w:p>
    <w:p w:rsidR="00696755" w:rsidRDefault="00696755" w:rsidP="00696755">
      <w:pPr>
        <w:pStyle w:val="a3"/>
        <w:jc w:val="center"/>
        <w:rPr>
          <w:i/>
          <w:iCs/>
          <w:sz w:val="40"/>
          <w:szCs w:val="40"/>
          <w:u w:val="single"/>
        </w:rPr>
      </w:pPr>
      <w:r w:rsidRPr="00ED26C5">
        <w:rPr>
          <w:i/>
          <w:iCs/>
          <w:sz w:val="40"/>
          <w:szCs w:val="40"/>
          <w:u w:val="single"/>
        </w:rPr>
        <w:lastRenderedPageBreak/>
        <w:t>Résumé du brevet</w:t>
      </w:r>
    </w:p>
    <w:p w:rsidR="00696755" w:rsidRDefault="00696755" w:rsidP="00696755">
      <w:pPr>
        <w:rPr>
          <w:b/>
          <w:bCs/>
          <w:sz w:val="28"/>
          <w:szCs w:val="28"/>
        </w:rPr>
      </w:pPr>
      <w:r w:rsidRPr="00EE6C1E">
        <w:rPr>
          <w:b/>
          <w:bCs/>
          <w:sz w:val="28"/>
          <w:szCs w:val="28"/>
          <w:u w:val="single"/>
        </w:rPr>
        <w:t>Intitulé : </w:t>
      </w:r>
      <w:r w:rsidRPr="00EE6C1E">
        <w:rPr>
          <w:b/>
          <w:bCs/>
          <w:sz w:val="28"/>
          <w:szCs w:val="28"/>
        </w:rPr>
        <w:t xml:space="preserve">«  </w:t>
      </w:r>
      <w:r w:rsidRPr="00EE6C1E">
        <w:rPr>
          <w:b/>
          <w:bCs/>
          <w:i/>
          <w:iCs/>
          <w:sz w:val="28"/>
          <w:szCs w:val="28"/>
        </w:rPr>
        <w:t>Matrice pour un séparateur électromagnétique  à haut gradient</w:t>
      </w:r>
      <w:r w:rsidRPr="00EE6C1E">
        <w:rPr>
          <w:b/>
          <w:bCs/>
          <w:sz w:val="28"/>
          <w:szCs w:val="28"/>
        </w:rPr>
        <w:t> »  Certificat N°: 1740069 ; URSS; Moscou 02/04/1990.</w:t>
      </w:r>
    </w:p>
    <w:p w:rsidR="00696755" w:rsidRDefault="00696755" w:rsidP="00696755">
      <w:pPr>
        <w:pStyle w:val="a3"/>
      </w:pPr>
    </w:p>
    <w:p w:rsidR="00696755" w:rsidRPr="00ED26C5" w:rsidRDefault="00696755" w:rsidP="00696755">
      <w:pPr>
        <w:pStyle w:val="a3"/>
        <w:ind w:left="709"/>
        <w:rPr>
          <w:sz w:val="28"/>
          <w:szCs w:val="28"/>
        </w:rPr>
      </w:pPr>
      <w:r>
        <w:t xml:space="preserve">      </w:t>
      </w:r>
      <w:r w:rsidRPr="00ED26C5">
        <w:rPr>
          <w:sz w:val="28"/>
          <w:szCs w:val="28"/>
        </w:rPr>
        <w:t xml:space="preserve">Dans ce travail on à montré la variation des caractéristiques du champ magnétique par rapport aux formes d’une dent de pôles aigus aimantés sous de différents angles de travail .On a constaté qu’avec la diminution de l’angle de travail de la dent, la non homogénéité du champ magnétique augmente ce qui  fait augmenter les forces magnétiques et leurs  concentrations dans des zones bien déterminées des pôles aimantés. </w:t>
      </w:r>
    </w:p>
    <w:p w:rsidR="00696755" w:rsidRPr="00ED26C5" w:rsidRDefault="00696755" w:rsidP="00696755">
      <w:pPr>
        <w:pStyle w:val="a3"/>
        <w:ind w:left="709"/>
        <w:rPr>
          <w:sz w:val="28"/>
          <w:szCs w:val="28"/>
        </w:rPr>
      </w:pPr>
      <w:r w:rsidRPr="00ED26C5">
        <w:rPr>
          <w:sz w:val="28"/>
          <w:szCs w:val="28"/>
        </w:rPr>
        <w:t>Après plusieurs expériences sur les formes des pôles aimantés ,on est arrivés aux formes finales de caractéristiques suivante voir la Figure si dessous .Les analyses profondes  de ces formes nous ont  conduit  à connaitre les zones de travail des pôles qui ont de grandes concentrations du gradient du  champ magnétique qui se trouve chaque fois aux sommets des dents constituants les  de matrices des séparateurs a haut gradient.</w:t>
      </w:r>
    </w:p>
    <w:p w:rsidR="00696755" w:rsidRPr="00ED26C5" w:rsidRDefault="00696755" w:rsidP="008A217A">
      <w:pPr>
        <w:pStyle w:val="a3"/>
        <w:ind w:left="709"/>
        <w:rPr>
          <w:sz w:val="28"/>
          <w:szCs w:val="28"/>
        </w:rPr>
      </w:pPr>
      <w:r w:rsidRPr="00ED26C5">
        <w:rPr>
          <w:sz w:val="28"/>
          <w:szCs w:val="28"/>
        </w:rPr>
        <w:t xml:space="preserve">Les recherches sur les théories </w:t>
      </w:r>
      <w:r w:rsidR="008A217A">
        <w:rPr>
          <w:sz w:val="28"/>
          <w:szCs w:val="28"/>
        </w:rPr>
        <w:t xml:space="preserve">et les pratiques </w:t>
      </w:r>
      <w:r w:rsidRPr="00ED26C5">
        <w:rPr>
          <w:sz w:val="28"/>
          <w:szCs w:val="28"/>
        </w:rPr>
        <w:t>du champ magnétique en fonction de leurs formes ont montrés qu</w:t>
      </w:r>
      <w:r w:rsidR="008A217A">
        <w:rPr>
          <w:sz w:val="28"/>
          <w:szCs w:val="28"/>
        </w:rPr>
        <w:t>’ils</w:t>
      </w:r>
      <w:r w:rsidR="008A217A" w:rsidRPr="00ED26C5">
        <w:rPr>
          <w:sz w:val="28"/>
          <w:szCs w:val="28"/>
        </w:rPr>
        <w:t xml:space="preserve"> présente</w:t>
      </w:r>
      <w:r w:rsidR="008A217A">
        <w:rPr>
          <w:sz w:val="28"/>
          <w:szCs w:val="28"/>
        </w:rPr>
        <w:t>nt des</w:t>
      </w:r>
      <w:r w:rsidR="008A217A" w:rsidRPr="00ED26C5">
        <w:rPr>
          <w:sz w:val="28"/>
          <w:szCs w:val="28"/>
        </w:rPr>
        <w:t xml:space="preserve"> </w:t>
      </w:r>
      <w:r w:rsidRPr="00ED26C5">
        <w:rPr>
          <w:sz w:val="28"/>
          <w:szCs w:val="28"/>
        </w:rPr>
        <w:t xml:space="preserve">difficultés énormes, </w:t>
      </w:r>
      <w:r w:rsidR="008A217A">
        <w:rPr>
          <w:sz w:val="28"/>
          <w:szCs w:val="28"/>
        </w:rPr>
        <w:t xml:space="preserve">en séparation magnétique .Mais leurs </w:t>
      </w:r>
      <w:r w:rsidRPr="00ED26C5">
        <w:rPr>
          <w:sz w:val="28"/>
          <w:szCs w:val="28"/>
        </w:rPr>
        <w:t>avantages sont très efficace</w:t>
      </w:r>
      <w:r w:rsidR="008A217A">
        <w:rPr>
          <w:sz w:val="28"/>
          <w:szCs w:val="28"/>
        </w:rPr>
        <w:t xml:space="preserve"> si on métrise l’orientation de leurs lignes équipotentielles </w:t>
      </w:r>
      <w:r w:rsidRPr="00ED26C5">
        <w:rPr>
          <w:sz w:val="28"/>
          <w:szCs w:val="28"/>
        </w:rPr>
        <w:t xml:space="preserve"> pour la séparation magnétique des particules très fines. Ces avantages sont caractérisés par l’ouverture de la fraction magnétique pour pouvoir lui supprimer les impuretés non magnétiques pendant l’opération de </w:t>
      </w:r>
      <w:r w:rsidR="008A217A">
        <w:rPr>
          <w:sz w:val="28"/>
          <w:szCs w:val="28"/>
        </w:rPr>
        <w:t>désaimantation</w:t>
      </w:r>
      <w:r w:rsidRPr="00ED26C5">
        <w:rPr>
          <w:sz w:val="28"/>
          <w:szCs w:val="28"/>
        </w:rPr>
        <w:t>.</w:t>
      </w:r>
    </w:p>
    <w:p w:rsidR="00696755" w:rsidRDefault="00696755" w:rsidP="00696755">
      <w:pPr>
        <w:pStyle w:val="a3"/>
        <w:ind w:left="709"/>
      </w:pPr>
      <w:r>
        <w:t xml:space="preserve"> </w:t>
      </w:r>
    </w:p>
    <w:p w:rsidR="00696755" w:rsidRDefault="00696755" w:rsidP="00696755">
      <w:pPr>
        <w:jc w:val="center"/>
        <w:rPr>
          <w:b/>
          <w:bCs/>
          <w:sz w:val="32"/>
          <w:szCs w:val="32"/>
        </w:rPr>
      </w:pPr>
    </w:p>
    <w:p w:rsidR="00830535" w:rsidRDefault="00830535"/>
    <w:sectPr w:rsidR="00830535" w:rsidSect="008A217A">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425"/>
  <w:drawingGridHorizontalSpacing w:val="120"/>
  <w:displayHorizontalDrawingGridEvery w:val="2"/>
  <w:characterSpacingControl w:val="doNotCompress"/>
  <w:compat/>
  <w:rsids>
    <w:rsidRoot w:val="00696755"/>
    <w:rsid w:val="001A098E"/>
    <w:rsid w:val="002355F9"/>
    <w:rsid w:val="00544AD9"/>
    <w:rsid w:val="00696755"/>
    <w:rsid w:val="00804480"/>
    <w:rsid w:val="00830535"/>
    <w:rsid w:val="008700C1"/>
    <w:rsid w:val="008A217A"/>
    <w:rsid w:val="009534E2"/>
    <w:rsid w:val="009F13C8"/>
    <w:rsid w:val="00A0098B"/>
    <w:rsid w:val="00AA54B6"/>
    <w:rsid w:val="00AF1FDE"/>
    <w:rsid w:val="00B357EA"/>
    <w:rsid w:val="00BD20A4"/>
    <w:rsid w:val="00FB6BF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55"/>
    <w:pPr>
      <w:jc w:val="left"/>
    </w:pPr>
    <w:rPr>
      <w:rFonts w:ascii="Times New Roman" w:eastAsia="Times New Roman" w:hAnsi="Times New Roman" w:cs="Times New Roman"/>
      <w:sz w:val="24"/>
      <w:szCs w:val="24"/>
      <w:lang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696755"/>
    <w:pPr>
      <w:jc w:val="left"/>
    </w:pPr>
    <w:rPr>
      <w:rFonts w:ascii="Times New Roman" w:eastAsia="Times New Roman" w:hAnsi="Times New Roman" w:cs="Times New Roman"/>
      <w:sz w:val="24"/>
      <w:szCs w:val="24"/>
      <w:lang w:eastAsia="fr-FR"/>
    </w:rPr>
  </w:style>
  <w:style w:type="character" w:customStyle="1" w:styleId="Char">
    <w:name w:val="بلا تباعد Char"/>
    <w:basedOn w:val="a0"/>
    <w:link w:val="a3"/>
    <w:uiPriority w:val="1"/>
    <w:rsid w:val="00696755"/>
    <w:rPr>
      <w:rFonts w:ascii="Times New Roman" w:eastAsia="Times New Roman" w:hAnsi="Times New Roman" w:cs="Times New Roman"/>
      <w:sz w:val="24"/>
      <w:szCs w:val="24"/>
      <w:lang w:eastAsia="fr-FR"/>
    </w:rPr>
  </w:style>
  <w:style w:type="paragraph" w:styleId="a4">
    <w:name w:val="Balloon Text"/>
    <w:basedOn w:val="a"/>
    <w:link w:val="Char0"/>
    <w:uiPriority w:val="99"/>
    <w:semiHidden/>
    <w:unhideWhenUsed/>
    <w:rsid w:val="00696755"/>
    <w:rPr>
      <w:rFonts w:ascii="Tahoma" w:hAnsi="Tahoma" w:cs="Tahoma"/>
      <w:sz w:val="16"/>
      <w:szCs w:val="16"/>
    </w:rPr>
  </w:style>
  <w:style w:type="character" w:customStyle="1" w:styleId="Char0">
    <w:name w:val="نص في بالون Char"/>
    <w:basedOn w:val="a0"/>
    <w:link w:val="a4"/>
    <w:uiPriority w:val="99"/>
    <w:semiHidden/>
    <w:rsid w:val="00696755"/>
    <w:rPr>
      <w:rFonts w:ascii="Tahoma" w:eastAsia="Times New Roman" w:hAnsi="Tahoma" w:cs="Tahoma"/>
      <w:sz w:val="16"/>
      <w:szCs w:val="16"/>
      <w:lang w:eastAsia="fr-FR"/>
    </w:rPr>
  </w:style>
  <w:style w:type="character" w:styleId="Hyperlink">
    <w:name w:val="Hyperlink"/>
    <w:basedOn w:val="a0"/>
    <w:uiPriority w:val="99"/>
    <w:semiHidden/>
    <w:unhideWhenUsed/>
    <w:rsid w:val="00B357E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yandex.ru/patents/doc/SU1740069A1_1992061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271</Words>
  <Characters>1496</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choki</dc:creator>
  <cp:lastModifiedBy>cyber al jazeera</cp:lastModifiedBy>
  <cp:revision>5</cp:revision>
  <dcterms:created xsi:type="dcterms:W3CDTF">2019-11-27T18:42:00Z</dcterms:created>
  <dcterms:modified xsi:type="dcterms:W3CDTF">2020-02-28T21:04:00Z</dcterms:modified>
</cp:coreProperties>
</file>