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7A2A" w14:textId="77777777" w:rsidR="00834D91" w:rsidRPr="00D355F2" w:rsidRDefault="00834D91" w:rsidP="000D37E1">
      <w:pPr>
        <w:spacing w:after="0" w:line="240" w:lineRule="auto"/>
        <w:ind w:right="-460"/>
        <w:jc w:val="both"/>
        <w:rPr>
          <w:rFonts w:cs="Calibri"/>
          <w:lang w:eastAsia="fr-FR"/>
        </w:rPr>
      </w:pPr>
    </w:p>
    <w:p w14:paraId="728621A4" w14:textId="77777777" w:rsidR="00DB0121" w:rsidRPr="00D355F2" w:rsidRDefault="00DB0121" w:rsidP="00E24DD3">
      <w:pPr>
        <w:shd w:val="clear" w:color="auto" w:fill="D9D9D9"/>
        <w:tabs>
          <w:tab w:val="left" w:pos="2268"/>
        </w:tabs>
        <w:spacing w:after="0" w:line="240" w:lineRule="auto"/>
        <w:ind w:right="-460"/>
        <w:jc w:val="center"/>
        <w:rPr>
          <w:rFonts w:ascii="Georgia" w:hAnsi="Georgia" w:cs="Calibri"/>
          <w:b/>
          <w:bCs/>
          <w:sz w:val="32"/>
          <w:szCs w:val="32"/>
        </w:rPr>
      </w:pPr>
      <w:bookmarkStart w:id="0" w:name="Annexe2"/>
      <w:r w:rsidRPr="00D355F2">
        <w:rPr>
          <w:rFonts w:ascii="Georgia" w:hAnsi="Georgia" w:cs="Calibri"/>
          <w:b/>
          <w:bCs/>
          <w:sz w:val="32"/>
          <w:szCs w:val="32"/>
        </w:rPr>
        <w:t>Annexe 2 </w:t>
      </w:r>
    </w:p>
    <w:p w14:paraId="1EC5944E" w14:textId="77777777" w:rsidR="00DB0121" w:rsidRPr="00D355F2" w:rsidRDefault="00DB0121" w:rsidP="00E24DD3">
      <w:pPr>
        <w:shd w:val="clear" w:color="auto" w:fill="D9D9D9"/>
        <w:tabs>
          <w:tab w:val="left" w:pos="2268"/>
        </w:tabs>
        <w:spacing w:before="60" w:after="0" w:line="240" w:lineRule="auto"/>
        <w:ind w:right="-460"/>
        <w:jc w:val="center"/>
        <w:rPr>
          <w:rFonts w:ascii="Georgia" w:hAnsi="Georgia" w:cs="Calibri"/>
          <w:b/>
          <w:bCs/>
          <w:sz w:val="28"/>
          <w:szCs w:val="28"/>
        </w:rPr>
      </w:pPr>
      <w:r w:rsidRPr="00D355F2">
        <w:rPr>
          <w:rFonts w:ascii="Georgia" w:hAnsi="Georgia" w:cs="Calibri"/>
          <w:b/>
          <w:bCs/>
          <w:sz w:val="28"/>
          <w:szCs w:val="28"/>
        </w:rPr>
        <w:t xml:space="preserve">Rapport sur la publication, son environnement </w:t>
      </w:r>
      <w:r w:rsidRPr="00D355F2">
        <w:rPr>
          <w:rFonts w:ascii="Georgia" w:hAnsi="Georgia" w:cs="Calibri"/>
          <w:b/>
          <w:bCs/>
          <w:sz w:val="28"/>
          <w:szCs w:val="28"/>
        </w:rPr>
        <w:br/>
        <w:t>et son adéquation avec la thèse</w:t>
      </w:r>
      <w:bookmarkEnd w:id="0"/>
    </w:p>
    <w:p w14:paraId="1CD73467" w14:textId="77777777" w:rsidR="00DB0121" w:rsidRPr="00D355F2" w:rsidRDefault="00DB0121" w:rsidP="00E24DD3">
      <w:pPr>
        <w:spacing w:after="0" w:line="240" w:lineRule="auto"/>
        <w:ind w:right="-460"/>
        <w:jc w:val="center"/>
        <w:rPr>
          <w:rFonts w:cs="Calibri"/>
        </w:rPr>
      </w:pPr>
    </w:p>
    <w:p w14:paraId="47F39B55" w14:textId="77777777" w:rsidR="004D37FE" w:rsidRDefault="004D37FE" w:rsidP="004D37FE">
      <w:pPr>
        <w:spacing w:after="0" w:line="360" w:lineRule="auto"/>
        <w:ind w:right="-459"/>
        <w:jc w:val="both"/>
        <w:rPr>
          <w:rFonts w:cs="Calibri"/>
          <w:b/>
          <w:bCs/>
          <w:sz w:val="24"/>
          <w:szCs w:val="24"/>
        </w:rPr>
      </w:pPr>
    </w:p>
    <w:p w14:paraId="0A653C97" w14:textId="5DF2D574" w:rsidR="000D37E1" w:rsidRPr="004D37FE" w:rsidRDefault="000D37E1" w:rsidP="004D37FE">
      <w:pPr>
        <w:spacing w:after="0" w:line="360" w:lineRule="auto"/>
        <w:ind w:right="-459"/>
        <w:jc w:val="both"/>
        <w:rPr>
          <w:rFonts w:cs="Calibri"/>
          <w:b/>
          <w:bCs/>
          <w:sz w:val="24"/>
          <w:szCs w:val="24"/>
        </w:rPr>
      </w:pPr>
      <w:r w:rsidRPr="004D37FE">
        <w:rPr>
          <w:rFonts w:cs="Calibri"/>
          <w:b/>
          <w:bCs/>
          <w:sz w:val="24"/>
          <w:szCs w:val="24"/>
        </w:rPr>
        <w:t>Année universitaire :</w:t>
      </w:r>
      <w:r w:rsidRPr="004D37FE">
        <w:rPr>
          <w:rFonts w:cs="Calibri"/>
          <w:sz w:val="24"/>
          <w:szCs w:val="24"/>
        </w:rPr>
        <w:t xml:space="preserve"> 2024/2025</w:t>
      </w:r>
    </w:p>
    <w:p w14:paraId="68D228DF" w14:textId="77777777" w:rsidR="000D37E1" w:rsidRPr="004D37FE" w:rsidRDefault="000D37E1" w:rsidP="004D37FE">
      <w:pPr>
        <w:spacing w:after="0" w:line="360" w:lineRule="auto"/>
        <w:ind w:right="-459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 xml:space="preserve">Établissement universitaire : </w:t>
      </w:r>
      <w:r w:rsidRPr="004D37FE">
        <w:rPr>
          <w:rFonts w:cs="Calibri"/>
          <w:i/>
          <w:iCs/>
          <w:sz w:val="24"/>
          <w:szCs w:val="24"/>
        </w:rPr>
        <w:t>université</w:t>
      </w:r>
      <w:r w:rsidRPr="004D37FE">
        <w:rPr>
          <w:rFonts w:cs="Calibri"/>
          <w:sz w:val="24"/>
          <w:szCs w:val="24"/>
        </w:rPr>
        <w:t xml:space="preserve"> Mohamed </w:t>
      </w:r>
      <w:proofErr w:type="spellStart"/>
      <w:r w:rsidRPr="004D37FE">
        <w:rPr>
          <w:rFonts w:cs="Calibri"/>
          <w:sz w:val="24"/>
          <w:szCs w:val="24"/>
        </w:rPr>
        <w:t>Boudhiaf</w:t>
      </w:r>
      <w:proofErr w:type="spellEnd"/>
      <w:r w:rsidRPr="004D37FE">
        <w:rPr>
          <w:rFonts w:cs="Calibri"/>
          <w:sz w:val="24"/>
          <w:szCs w:val="24"/>
        </w:rPr>
        <w:t xml:space="preserve"> Msila</w:t>
      </w:r>
    </w:p>
    <w:p w14:paraId="6176DFCE" w14:textId="77777777" w:rsidR="000D37E1" w:rsidRPr="004D37FE" w:rsidRDefault="000D37E1" w:rsidP="004D37FE">
      <w:pPr>
        <w:spacing w:after="0" w:line="360" w:lineRule="auto"/>
        <w:ind w:right="-459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 xml:space="preserve">Institut : </w:t>
      </w:r>
      <w:r w:rsidRPr="004D37FE">
        <w:rPr>
          <w:rFonts w:cs="Calibri"/>
          <w:sz w:val="24"/>
          <w:szCs w:val="24"/>
        </w:rPr>
        <w:t>Gestion des techniques urbaines</w:t>
      </w:r>
    </w:p>
    <w:p w14:paraId="2874D826" w14:textId="77777777" w:rsidR="000D37E1" w:rsidRDefault="000D37E1" w:rsidP="004D37FE">
      <w:pPr>
        <w:spacing w:after="0" w:line="360" w:lineRule="auto"/>
        <w:ind w:right="-459"/>
        <w:jc w:val="both"/>
        <w:rPr>
          <w:rFonts w:cs="Calibri"/>
          <w:i/>
          <w:iCs/>
          <w:sz w:val="24"/>
          <w:szCs w:val="24"/>
          <w:lang w:bidi="ar-DZ"/>
        </w:rPr>
      </w:pPr>
      <w:r w:rsidRPr="004D37FE">
        <w:rPr>
          <w:rFonts w:cs="Calibri"/>
          <w:b/>
          <w:bCs/>
          <w:i/>
          <w:iCs/>
          <w:sz w:val="24"/>
          <w:szCs w:val="24"/>
          <w:lang w:bidi="ar-DZ"/>
        </w:rPr>
        <w:t xml:space="preserve">Département :  </w:t>
      </w:r>
      <w:r w:rsidRPr="004D37FE">
        <w:rPr>
          <w:rFonts w:cs="Calibri"/>
          <w:i/>
          <w:iCs/>
          <w:sz w:val="24"/>
          <w:szCs w:val="24"/>
          <w:lang w:bidi="ar-DZ"/>
        </w:rPr>
        <w:t>Génie urbain</w:t>
      </w:r>
    </w:p>
    <w:p w14:paraId="6004CBFD" w14:textId="77777777" w:rsidR="004D37FE" w:rsidRPr="004D37FE" w:rsidRDefault="004D37FE" w:rsidP="004D37FE">
      <w:pPr>
        <w:spacing w:after="0" w:line="360" w:lineRule="auto"/>
        <w:ind w:right="-459"/>
        <w:jc w:val="both"/>
        <w:rPr>
          <w:rFonts w:cs="Calibri"/>
          <w:b/>
          <w:bCs/>
          <w:i/>
          <w:iCs/>
          <w:sz w:val="24"/>
          <w:szCs w:val="24"/>
          <w:lang w:bidi="ar-DZ"/>
        </w:rPr>
      </w:pPr>
    </w:p>
    <w:p w14:paraId="744478D9" w14:textId="759386A0" w:rsidR="00DB0121" w:rsidRPr="004D37FE" w:rsidRDefault="00DB0121" w:rsidP="000D37E1">
      <w:pPr>
        <w:spacing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>1) Données d’identification du doctorant :</w:t>
      </w:r>
    </w:p>
    <w:p w14:paraId="01DD05A9" w14:textId="42FEB362" w:rsidR="00DB0121" w:rsidRPr="004D37FE" w:rsidRDefault="00DB0121" w:rsidP="00E24DD3">
      <w:pPr>
        <w:spacing w:before="120"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 xml:space="preserve">Nom et Prénom du candidat : </w:t>
      </w:r>
      <w:bookmarkStart w:id="1" w:name="_Hlk187390782"/>
      <w:proofErr w:type="spellStart"/>
      <w:r w:rsidR="00B96DD5" w:rsidRPr="00E577FD">
        <w:rPr>
          <w:b/>
          <w:bCs/>
          <w:sz w:val="24"/>
          <w:szCs w:val="24"/>
        </w:rPr>
        <w:t>Chourouk</w:t>
      </w:r>
      <w:proofErr w:type="spellEnd"/>
      <w:r w:rsidR="00B96DD5" w:rsidRPr="00E577FD">
        <w:rPr>
          <w:b/>
          <w:bCs/>
          <w:sz w:val="24"/>
          <w:szCs w:val="24"/>
        </w:rPr>
        <w:t xml:space="preserve"> </w:t>
      </w:r>
      <w:proofErr w:type="spellStart"/>
      <w:r w:rsidR="00B96DD5" w:rsidRPr="00E577FD">
        <w:rPr>
          <w:b/>
          <w:bCs/>
          <w:sz w:val="24"/>
          <w:szCs w:val="24"/>
        </w:rPr>
        <w:t>Bouttaba</w:t>
      </w:r>
      <w:bookmarkEnd w:id="1"/>
      <w:proofErr w:type="spellEnd"/>
    </w:p>
    <w:p w14:paraId="495C3835" w14:textId="367693C6" w:rsidR="00B96DD5" w:rsidRDefault="00DB0121" w:rsidP="00B96DD5">
      <w:pPr>
        <w:spacing w:before="120" w:after="0" w:line="240" w:lineRule="auto"/>
        <w:ind w:right="-460"/>
        <w:jc w:val="both"/>
        <w:rPr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  <w:lang w:eastAsia="fr-FR"/>
        </w:rPr>
        <w:t>Intitulé du sujet de Doctorat</w:t>
      </w:r>
      <w:r w:rsidRPr="004D37FE">
        <w:rPr>
          <w:rFonts w:cs="Calibri"/>
          <w:i/>
          <w:iCs/>
          <w:sz w:val="24"/>
          <w:szCs w:val="24"/>
          <w:lang w:bidi="ar-DZ"/>
        </w:rPr>
        <w:t xml:space="preserve">/Intitulé de la </w:t>
      </w:r>
      <w:r w:rsidR="00E577FD" w:rsidRPr="004D37FE">
        <w:rPr>
          <w:rFonts w:cs="Calibri"/>
          <w:i/>
          <w:iCs/>
          <w:sz w:val="24"/>
          <w:szCs w:val="24"/>
          <w:lang w:bidi="ar-DZ"/>
        </w:rPr>
        <w:t>thèse :</w:t>
      </w:r>
      <w:r w:rsidR="00B96DD5" w:rsidRPr="004D37FE">
        <w:rPr>
          <w:rFonts w:cs="Calibri"/>
          <w:i/>
          <w:iCs/>
          <w:sz w:val="24"/>
          <w:szCs w:val="24"/>
          <w:lang w:bidi="ar-DZ"/>
        </w:rPr>
        <w:t xml:space="preserve"> </w:t>
      </w:r>
      <w:r w:rsidR="00B96DD5" w:rsidRPr="00E577FD">
        <w:rPr>
          <w:b/>
          <w:bCs/>
          <w:sz w:val="24"/>
          <w:szCs w:val="24"/>
        </w:rPr>
        <w:t>Fréquentation des espaces verts en milieu urbain et périurbain : En quête d’une gestion durable – Cas de la ville de Constantine –</w:t>
      </w:r>
    </w:p>
    <w:p w14:paraId="6831B14A" w14:textId="77777777" w:rsidR="004D37FE" w:rsidRPr="004D37FE" w:rsidRDefault="004D37FE" w:rsidP="00B96DD5">
      <w:pPr>
        <w:spacing w:before="120" w:after="0" w:line="240" w:lineRule="auto"/>
        <w:ind w:right="-460"/>
        <w:jc w:val="both"/>
        <w:rPr>
          <w:sz w:val="24"/>
          <w:szCs w:val="24"/>
        </w:rPr>
      </w:pPr>
    </w:p>
    <w:p w14:paraId="61DD9668" w14:textId="1D9A73E1" w:rsidR="00DB0121" w:rsidRPr="004D37FE" w:rsidRDefault="00DB0121" w:rsidP="00B96DD5">
      <w:pPr>
        <w:spacing w:before="12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>2) Données d’identification du Directeur de thèse :</w:t>
      </w:r>
    </w:p>
    <w:p w14:paraId="0CDFEF6C" w14:textId="5710ACD3" w:rsidR="00DB0121" w:rsidRPr="004D37FE" w:rsidRDefault="00DB0121" w:rsidP="00E24DD3">
      <w:pPr>
        <w:spacing w:before="120"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>Nom :</w:t>
      </w:r>
      <w:r w:rsidR="00B96DD5" w:rsidRPr="004D37FE">
        <w:rPr>
          <w:rFonts w:cs="Calibri"/>
          <w:i/>
          <w:iCs/>
          <w:sz w:val="24"/>
          <w:szCs w:val="24"/>
        </w:rPr>
        <w:t xml:space="preserve"> </w:t>
      </w:r>
      <w:r w:rsidR="00B96DD5" w:rsidRPr="00E577FD">
        <w:rPr>
          <w:rFonts w:cs="Calibri"/>
          <w:b/>
          <w:bCs/>
          <w:i/>
          <w:iCs/>
          <w:sz w:val="24"/>
          <w:szCs w:val="24"/>
        </w:rPr>
        <w:t>NOUIBAT</w:t>
      </w:r>
    </w:p>
    <w:p w14:paraId="05F0BB55" w14:textId="6C9D571C" w:rsidR="00DB0121" w:rsidRPr="004D37FE" w:rsidRDefault="002E1809" w:rsidP="00E24DD3">
      <w:pPr>
        <w:spacing w:before="120" w:after="0" w:line="240" w:lineRule="auto"/>
        <w:ind w:right="-460"/>
        <w:jc w:val="both"/>
        <w:rPr>
          <w:rFonts w:cs="Calibri"/>
          <w:bCs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>Prénom :</w:t>
      </w:r>
      <w:r w:rsidR="00B96DD5" w:rsidRPr="004D37FE">
        <w:rPr>
          <w:rFonts w:cs="Calibri"/>
          <w:i/>
          <w:iCs/>
          <w:sz w:val="24"/>
          <w:szCs w:val="24"/>
        </w:rPr>
        <w:t xml:space="preserve"> </w:t>
      </w:r>
      <w:r w:rsidR="00B96DD5" w:rsidRPr="00E577FD">
        <w:rPr>
          <w:rFonts w:cs="Calibri"/>
          <w:b/>
          <w:bCs/>
          <w:i/>
          <w:iCs/>
          <w:sz w:val="24"/>
          <w:szCs w:val="24"/>
        </w:rPr>
        <w:t>Brahim</w:t>
      </w:r>
    </w:p>
    <w:p w14:paraId="7F4F6F16" w14:textId="77777777" w:rsidR="00DB0121" w:rsidRPr="004D37FE" w:rsidRDefault="00DB0121" w:rsidP="00E24DD3">
      <w:pPr>
        <w:spacing w:after="0" w:line="240" w:lineRule="auto"/>
        <w:ind w:right="-460"/>
        <w:jc w:val="both"/>
        <w:rPr>
          <w:rFonts w:cs="Calibri"/>
          <w:i/>
          <w:iCs/>
          <w:sz w:val="24"/>
          <w:szCs w:val="24"/>
          <w:lang w:bidi="ar-DZ"/>
        </w:rPr>
      </w:pPr>
    </w:p>
    <w:p w14:paraId="25659C93" w14:textId="77777777" w:rsidR="00DB0121" w:rsidRDefault="00DB0121" w:rsidP="00E24DD3">
      <w:pPr>
        <w:spacing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  <w:lang w:eastAsia="fr-FR"/>
        </w:rPr>
      </w:pPr>
      <w:r w:rsidRPr="004D37FE">
        <w:rPr>
          <w:rFonts w:cs="Calibri"/>
          <w:b/>
          <w:bCs/>
          <w:i/>
          <w:iCs/>
          <w:sz w:val="24"/>
          <w:szCs w:val="24"/>
          <w:lang w:eastAsia="fr-FR"/>
        </w:rPr>
        <w:t>3) Identification de la publication</w:t>
      </w:r>
      <w:r w:rsidR="006C5EBD" w:rsidRPr="004D37FE">
        <w:rPr>
          <w:rFonts w:cs="Calibri"/>
          <w:b/>
          <w:bCs/>
          <w:i/>
          <w:iCs/>
          <w:sz w:val="24"/>
          <w:szCs w:val="24"/>
          <w:vertAlign w:val="superscript"/>
          <w:lang w:eastAsia="fr-FR"/>
        </w:rPr>
        <w:t>1</w:t>
      </w:r>
      <w:r w:rsidRPr="004D37FE">
        <w:rPr>
          <w:rFonts w:cs="Calibri"/>
          <w:b/>
          <w:bCs/>
          <w:i/>
          <w:iCs/>
          <w:sz w:val="24"/>
          <w:szCs w:val="24"/>
          <w:lang w:eastAsia="fr-FR"/>
        </w:rPr>
        <w:t> :</w:t>
      </w:r>
    </w:p>
    <w:p w14:paraId="3B38035B" w14:textId="77777777" w:rsidR="004D37FE" w:rsidRPr="004D37FE" w:rsidRDefault="004D37FE" w:rsidP="00E24DD3">
      <w:pPr>
        <w:spacing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  <w:lang w:eastAsia="fr-FR"/>
        </w:rPr>
      </w:pPr>
    </w:p>
    <w:p w14:paraId="4634775D" w14:textId="27381947" w:rsidR="00DB0121" w:rsidRPr="004D37FE" w:rsidRDefault="00DB0121" w:rsidP="00E24DD3">
      <w:pPr>
        <w:spacing w:after="0" w:line="240" w:lineRule="auto"/>
        <w:ind w:right="-460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>Intitulé de la Revue :</w:t>
      </w:r>
      <w:r w:rsidRPr="004D37FE">
        <w:rPr>
          <w:rFonts w:cs="Calibri"/>
          <w:b/>
          <w:bCs/>
          <w:i/>
          <w:iCs/>
          <w:sz w:val="24"/>
          <w:szCs w:val="24"/>
        </w:rPr>
        <w:t xml:space="preserve">    </w:t>
      </w:r>
      <w:r w:rsidR="00DF6102" w:rsidRPr="004D37FE">
        <w:rPr>
          <w:rFonts w:cs="Calibri"/>
          <w:b/>
          <w:bCs/>
          <w:i/>
          <w:iCs/>
          <w:sz w:val="24"/>
          <w:szCs w:val="24"/>
        </w:rPr>
        <w:t>JOURNAL OF DEGRADED AND MINING LANDS MANAGEMENT</w:t>
      </w:r>
    </w:p>
    <w:p w14:paraId="65D3FAF5" w14:textId="4C1A525B" w:rsidR="00DB0121" w:rsidRPr="004D37FE" w:rsidRDefault="00DB0121" w:rsidP="00E24DD3">
      <w:pPr>
        <w:spacing w:before="60" w:after="0" w:line="240" w:lineRule="auto"/>
        <w:ind w:right="-460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 xml:space="preserve">ISSN : </w:t>
      </w:r>
      <w:r w:rsidR="00DF6102" w:rsidRPr="00E577FD">
        <w:rPr>
          <w:rFonts w:cs="Calibri"/>
          <w:b/>
          <w:bCs/>
          <w:i/>
          <w:iCs/>
          <w:sz w:val="24"/>
          <w:szCs w:val="24"/>
        </w:rPr>
        <w:t>2339-076X</w:t>
      </w:r>
      <w:r w:rsidRPr="00E577FD">
        <w:rPr>
          <w:rFonts w:cs="Calibri"/>
          <w:b/>
          <w:bCs/>
          <w:i/>
          <w:iCs/>
          <w:sz w:val="24"/>
          <w:szCs w:val="24"/>
        </w:rPr>
        <w:t xml:space="preserve">   </w:t>
      </w:r>
      <w:r w:rsidRPr="004D37FE">
        <w:rPr>
          <w:rFonts w:cs="Calibri"/>
          <w:i/>
          <w:iCs/>
          <w:sz w:val="24"/>
          <w:szCs w:val="24"/>
        </w:rPr>
        <w:t xml:space="preserve">     EISSN : </w:t>
      </w:r>
      <w:r w:rsidR="00DF6102" w:rsidRPr="00E577FD">
        <w:rPr>
          <w:rFonts w:cs="Calibri"/>
          <w:b/>
          <w:bCs/>
          <w:i/>
          <w:iCs/>
          <w:sz w:val="24"/>
          <w:szCs w:val="24"/>
        </w:rPr>
        <w:t>2502-2458</w:t>
      </w:r>
    </w:p>
    <w:p w14:paraId="104F707C" w14:textId="70E6E61B" w:rsidR="00DB0121" w:rsidRPr="004D37FE" w:rsidRDefault="00DB0121" w:rsidP="00E24DD3">
      <w:pPr>
        <w:spacing w:before="60" w:after="0" w:line="240" w:lineRule="auto"/>
        <w:ind w:right="-460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 xml:space="preserve">Url de la revue/article : </w:t>
      </w:r>
      <w:r w:rsidR="00B91C14" w:rsidRPr="00E577FD">
        <w:rPr>
          <w:rFonts w:cs="Calibri"/>
          <w:b/>
          <w:bCs/>
          <w:i/>
          <w:iCs/>
          <w:sz w:val="24"/>
          <w:szCs w:val="24"/>
        </w:rPr>
        <w:t>www.jdmlm.ub.ac.id</w:t>
      </w:r>
    </w:p>
    <w:p w14:paraId="529AF29A" w14:textId="435CBF49" w:rsidR="00DB0121" w:rsidRPr="004D37FE" w:rsidRDefault="00000000" w:rsidP="006C5EBD">
      <w:pPr>
        <w:spacing w:before="60" w:after="0" w:line="240" w:lineRule="auto"/>
        <w:ind w:right="-460"/>
        <w:rPr>
          <w:rFonts w:cs="Calibri"/>
          <w:i/>
          <w:iCs/>
          <w:sz w:val="24"/>
          <w:szCs w:val="24"/>
        </w:rPr>
      </w:pPr>
      <w:r>
        <w:rPr>
          <w:noProof/>
          <w:sz w:val="24"/>
          <w:szCs w:val="24"/>
          <w:lang w:eastAsia="fr-FR"/>
        </w:rPr>
        <w:pict w14:anchorId="3C92852D">
          <v:rect id="Rectangle 9" o:spid="_x0000_s1027" style="position:absolute;margin-left:139.2pt;margin-top:1.2pt;width:36pt;height:19.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" strokeweight="1pt">
            <v:path arrowok="t"/>
            <v:textbox>
              <w:txbxContent>
                <w:p w14:paraId="5F41B2DF" w14:textId="77777777" w:rsidR="006C5EBD" w:rsidRPr="00B96DD5" w:rsidRDefault="006C5EBD">
                  <w:pPr>
                    <w:rPr>
                      <w:b/>
                      <w:bCs/>
                    </w:rPr>
                  </w:pPr>
                  <w:r w:rsidRPr="00B96DD5">
                    <w:rPr>
                      <w:b/>
                      <w:bCs/>
                    </w:rPr>
                    <w:t xml:space="preserve">   B</w:t>
                  </w:r>
                </w:p>
              </w:txbxContent>
            </v:textbox>
          </v:rect>
        </w:pict>
      </w:r>
      <w:r w:rsidR="00DB0121" w:rsidRPr="004D37FE">
        <w:rPr>
          <w:rFonts w:cs="Calibri"/>
          <w:i/>
          <w:iCs/>
          <w:sz w:val="24"/>
          <w:szCs w:val="24"/>
        </w:rPr>
        <w:t>Catégorisation de la revue</w:t>
      </w:r>
      <w:r w:rsidR="006C5EBD" w:rsidRPr="004D37FE">
        <w:rPr>
          <w:rStyle w:val="Appelnotedebasdep"/>
          <w:rFonts w:cs="Calibri"/>
          <w:i/>
          <w:iCs/>
          <w:sz w:val="24"/>
          <w:szCs w:val="24"/>
        </w:rPr>
        <w:t>2</w:t>
      </w:r>
      <w:r w:rsidR="00DB0121" w:rsidRPr="004D37FE">
        <w:rPr>
          <w:rFonts w:cs="Calibri"/>
          <w:i/>
          <w:iCs/>
          <w:sz w:val="24"/>
          <w:szCs w:val="24"/>
        </w:rPr>
        <w:t xml:space="preserve"> :  </w:t>
      </w:r>
    </w:p>
    <w:p w14:paraId="1D59E892" w14:textId="28E32B13" w:rsidR="00DB0121" w:rsidRPr="004D37FE" w:rsidRDefault="00DB0121" w:rsidP="00E24DD3">
      <w:pPr>
        <w:spacing w:before="60"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 xml:space="preserve">Indexation de la revue : </w:t>
      </w:r>
      <w:bookmarkStart w:id="2" w:name="_Hlk187356876"/>
      <w:r w:rsidR="0050421E" w:rsidRPr="00E577FD">
        <w:rPr>
          <w:rFonts w:cs="Calibri"/>
          <w:b/>
          <w:bCs/>
          <w:i/>
          <w:iCs/>
          <w:sz w:val="24"/>
          <w:szCs w:val="24"/>
        </w:rPr>
        <w:t>Liste des revues scientifiques (ERIH PLUS 2024) et (SCOPUS 2024).</w:t>
      </w:r>
      <w:bookmarkEnd w:id="2"/>
    </w:p>
    <w:p w14:paraId="1D3BEEBA" w14:textId="502733D6" w:rsidR="00DB0121" w:rsidRPr="00E577FD" w:rsidRDefault="00DB0121" w:rsidP="00E24DD3">
      <w:pPr>
        <w:spacing w:before="6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 xml:space="preserve">Pérennité de la revue : </w:t>
      </w:r>
      <w:r w:rsidR="00EA641A" w:rsidRPr="00E577FD">
        <w:rPr>
          <w:rFonts w:cs="Calibri"/>
          <w:b/>
          <w:bCs/>
          <w:i/>
          <w:iCs/>
          <w:sz w:val="24"/>
          <w:szCs w:val="24"/>
        </w:rPr>
        <w:t xml:space="preserve">La revue est indexée dans des bases de données internationales prestigieuses telles que la </w:t>
      </w:r>
      <w:r w:rsidR="0050421E" w:rsidRPr="00E577FD">
        <w:rPr>
          <w:rFonts w:cs="Calibri"/>
          <w:b/>
          <w:bCs/>
          <w:i/>
          <w:iCs/>
          <w:sz w:val="24"/>
          <w:szCs w:val="24"/>
        </w:rPr>
        <w:t>Liste des revues scientifiques (ERIH PLUS 2024) et (SCOPUS 2024).</w:t>
      </w:r>
    </w:p>
    <w:p w14:paraId="1F420633" w14:textId="23667BD0" w:rsidR="00DB0121" w:rsidRPr="004D37FE" w:rsidRDefault="00DB0121" w:rsidP="0013340B">
      <w:pPr>
        <w:spacing w:before="60"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>Politique de publication de la revue</w:t>
      </w:r>
      <w:r w:rsidR="0013340B" w:rsidRPr="004D37FE">
        <w:rPr>
          <w:rStyle w:val="Appelnotedebasdep"/>
          <w:rFonts w:cs="Calibri"/>
          <w:i/>
          <w:iCs/>
          <w:sz w:val="24"/>
          <w:szCs w:val="24"/>
        </w:rPr>
        <w:t>3</w:t>
      </w:r>
      <w:r w:rsidRPr="004D37FE">
        <w:rPr>
          <w:rFonts w:cs="Calibri"/>
          <w:i/>
          <w:iCs/>
          <w:sz w:val="24"/>
          <w:szCs w:val="24"/>
        </w:rPr>
        <w:t xml:space="preserve"> : </w:t>
      </w:r>
      <w:r w:rsidR="0050421E" w:rsidRPr="00E577FD">
        <w:rPr>
          <w:rFonts w:cs="Calibri"/>
          <w:b/>
          <w:bCs/>
          <w:i/>
          <w:iCs/>
          <w:sz w:val="24"/>
          <w:szCs w:val="24"/>
        </w:rPr>
        <w:t>La revue n’est pas prédatrice.</w:t>
      </w:r>
    </w:p>
    <w:p w14:paraId="3EDBCB73" w14:textId="579AB4B5" w:rsidR="00DB0121" w:rsidRPr="00E577FD" w:rsidRDefault="00DB0121" w:rsidP="0050421E">
      <w:pPr>
        <w:spacing w:before="6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proofErr w:type="spellStart"/>
      <w:r w:rsidRPr="004D37FE">
        <w:rPr>
          <w:rFonts w:cs="Calibri"/>
          <w:i/>
          <w:iCs/>
          <w:sz w:val="24"/>
          <w:szCs w:val="24"/>
          <w:lang w:val="en-US"/>
        </w:rPr>
        <w:t>Intitulé</w:t>
      </w:r>
      <w:proofErr w:type="spellEnd"/>
      <w:r w:rsidRPr="004D37FE">
        <w:rPr>
          <w:rFonts w:cs="Calibri"/>
          <w:i/>
          <w:iCs/>
          <w:sz w:val="24"/>
          <w:szCs w:val="24"/>
          <w:lang w:val="en-US"/>
        </w:rPr>
        <w:t xml:space="preserve"> de la </w:t>
      </w:r>
      <w:r w:rsidR="0050421E" w:rsidRPr="004D37FE">
        <w:rPr>
          <w:rFonts w:cs="Calibri"/>
          <w:i/>
          <w:iCs/>
          <w:sz w:val="24"/>
          <w:szCs w:val="24"/>
          <w:lang w:val="en-US"/>
        </w:rPr>
        <w:t>Publication:</w:t>
      </w:r>
      <w:r w:rsidRPr="004D37FE">
        <w:rPr>
          <w:rFonts w:cs="Calibri"/>
          <w:i/>
          <w:iCs/>
          <w:sz w:val="24"/>
          <w:szCs w:val="24"/>
          <w:lang w:val="en-US"/>
        </w:rPr>
        <w:t xml:space="preserve"> </w:t>
      </w:r>
      <w:r w:rsidR="0050421E" w:rsidRPr="00E577FD">
        <w:rPr>
          <w:rFonts w:cs="Calibri"/>
          <w:b/>
          <w:bCs/>
          <w:i/>
          <w:iCs/>
          <w:sz w:val="24"/>
          <w:szCs w:val="24"/>
          <w:lang w:val="en-US"/>
        </w:rPr>
        <w:t xml:space="preserve">Peri-urban forests: an exploratory study of users' recreational activities: The case of the El </w:t>
      </w:r>
      <w:proofErr w:type="spellStart"/>
      <w:r w:rsidR="0050421E" w:rsidRPr="00E577FD">
        <w:rPr>
          <w:rFonts w:cs="Calibri"/>
          <w:b/>
          <w:bCs/>
          <w:i/>
          <w:iCs/>
          <w:sz w:val="24"/>
          <w:szCs w:val="24"/>
          <w:lang w:val="en-US"/>
        </w:rPr>
        <w:t>Meridj</w:t>
      </w:r>
      <w:proofErr w:type="spellEnd"/>
      <w:r w:rsidR="0050421E" w:rsidRPr="00E577FD">
        <w:rPr>
          <w:rFonts w:cs="Calibri"/>
          <w:b/>
          <w:bCs/>
          <w:i/>
          <w:iCs/>
          <w:sz w:val="24"/>
          <w:szCs w:val="24"/>
          <w:lang w:val="en-US"/>
        </w:rPr>
        <w:t>-Est recreational forest in Constantine, Algeria.</w:t>
      </w:r>
    </w:p>
    <w:p w14:paraId="1118E122" w14:textId="0AFC66BF" w:rsidR="00DB0121" w:rsidRDefault="00DB0121" w:rsidP="0013340B">
      <w:pPr>
        <w:spacing w:before="60"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i/>
          <w:iCs/>
          <w:sz w:val="24"/>
          <w:szCs w:val="24"/>
        </w:rPr>
        <w:t>Position parmi les auteurs</w:t>
      </w:r>
      <w:r w:rsidR="0013340B" w:rsidRPr="004D37FE">
        <w:rPr>
          <w:rStyle w:val="Appelnotedebasdep"/>
          <w:rFonts w:cs="Calibri"/>
          <w:i/>
          <w:iCs/>
          <w:sz w:val="24"/>
          <w:szCs w:val="24"/>
        </w:rPr>
        <w:t>4</w:t>
      </w:r>
      <w:r w:rsidR="0050421E" w:rsidRPr="004D37FE">
        <w:rPr>
          <w:rFonts w:cs="Calibri"/>
          <w:i/>
          <w:iCs/>
          <w:sz w:val="24"/>
          <w:szCs w:val="24"/>
        </w:rPr>
        <w:t xml:space="preserve"> : </w:t>
      </w:r>
      <w:r w:rsidR="0050421E" w:rsidRPr="00E577FD">
        <w:rPr>
          <w:rFonts w:cs="Calibri"/>
          <w:b/>
          <w:bCs/>
          <w:i/>
          <w:iCs/>
          <w:sz w:val="24"/>
          <w:szCs w:val="24"/>
        </w:rPr>
        <w:t>première position</w:t>
      </w:r>
      <w:r w:rsidR="00EA641A" w:rsidRPr="00E577FD">
        <w:rPr>
          <w:rFonts w:cs="Calibri"/>
          <w:b/>
          <w:bCs/>
          <w:i/>
          <w:iCs/>
          <w:sz w:val="24"/>
          <w:szCs w:val="24"/>
        </w:rPr>
        <w:t>.</w:t>
      </w:r>
    </w:p>
    <w:p w14:paraId="133C198E" w14:textId="77777777" w:rsidR="004D37FE" w:rsidRDefault="004D37FE" w:rsidP="0013340B">
      <w:pPr>
        <w:spacing w:before="6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756DF27F" w14:textId="77777777" w:rsidR="004D37FE" w:rsidRDefault="004D37FE" w:rsidP="0013340B">
      <w:pPr>
        <w:spacing w:before="6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20CAA94F" w14:textId="77777777" w:rsidR="004D37FE" w:rsidRPr="004D37FE" w:rsidRDefault="004D37FE" w:rsidP="0013340B">
      <w:pPr>
        <w:spacing w:before="60"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</w:p>
    <w:p w14:paraId="246A43AA" w14:textId="77777777" w:rsidR="004D37FE" w:rsidRDefault="00DB0121" w:rsidP="00EA641A">
      <w:pPr>
        <w:spacing w:after="0" w:line="240" w:lineRule="auto"/>
        <w:ind w:right="-460"/>
        <w:jc w:val="both"/>
        <w:rPr>
          <w:rFonts w:cs="Calibri"/>
          <w:b/>
          <w:bCs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>4) Adéquation de la publication avec la thèse :</w:t>
      </w:r>
      <w:r w:rsidR="00EA641A" w:rsidRPr="004D37FE">
        <w:rPr>
          <w:rFonts w:cs="Calibri"/>
          <w:b/>
          <w:bCs/>
          <w:i/>
          <w:iCs/>
          <w:sz w:val="24"/>
          <w:szCs w:val="24"/>
        </w:rPr>
        <w:t xml:space="preserve"> </w:t>
      </w:r>
    </w:p>
    <w:p w14:paraId="3F1D36AB" w14:textId="781DE4F8" w:rsidR="00DB0121" w:rsidRPr="004D37FE" w:rsidRDefault="00EA641A" w:rsidP="00EA641A">
      <w:pPr>
        <w:spacing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  <w:r w:rsidRPr="004D37FE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4D37FE">
        <w:rPr>
          <w:rFonts w:cs="Calibri"/>
          <w:i/>
          <w:iCs/>
          <w:sz w:val="24"/>
          <w:szCs w:val="24"/>
        </w:rPr>
        <w:t xml:space="preserve">L’article est en parfaite adéquation avec la thèse. Il a exposé l’analyse des forêts périurbaines en se basant sur l’étude exploratoire des activités récréatives des usagers </w:t>
      </w:r>
      <w:r w:rsidR="004D37FE" w:rsidRPr="004D37FE">
        <w:rPr>
          <w:rFonts w:cs="Calibri"/>
          <w:i/>
          <w:iCs/>
          <w:sz w:val="24"/>
          <w:szCs w:val="24"/>
        </w:rPr>
        <w:t>dans le</w:t>
      </w:r>
      <w:r w:rsidRPr="004D37FE">
        <w:rPr>
          <w:rFonts w:cs="Calibri"/>
          <w:i/>
          <w:iCs/>
          <w:sz w:val="24"/>
          <w:szCs w:val="24"/>
        </w:rPr>
        <w:t xml:space="preserve"> cas de la forêt récréative d'El </w:t>
      </w:r>
      <w:proofErr w:type="spellStart"/>
      <w:r w:rsidRPr="004D37FE">
        <w:rPr>
          <w:rFonts w:cs="Calibri"/>
          <w:i/>
          <w:iCs/>
          <w:sz w:val="24"/>
          <w:szCs w:val="24"/>
        </w:rPr>
        <w:t>Meridj</w:t>
      </w:r>
      <w:proofErr w:type="spellEnd"/>
      <w:r w:rsidRPr="004D37FE">
        <w:rPr>
          <w:rFonts w:cs="Calibri"/>
          <w:i/>
          <w:iCs/>
          <w:sz w:val="24"/>
          <w:szCs w:val="24"/>
        </w:rPr>
        <w:t>-Est à Constantine qui représente une partie importante de la thèse.</w:t>
      </w:r>
    </w:p>
    <w:p w14:paraId="48539B84" w14:textId="77777777" w:rsidR="00EA641A" w:rsidRPr="004D37FE" w:rsidRDefault="00EA641A" w:rsidP="00EA641A">
      <w:pPr>
        <w:spacing w:after="0" w:line="240" w:lineRule="auto"/>
        <w:ind w:right="-460"/>
        <w:jc w:val="both"/>
        <w:rPr>
          <w:rFonts w:cs="Calibri"/>
          <w:i/>
          <w:iCs/>
          <w:sz w:val="24"/>
          <w:szCs w:val="24"/>
        </w:rPr>
      </w:pPr>
    </w:p>
    <w:p w14:paraId="63328358" w14:textId="205CB888" w:rsidR="004D37FE" w:rsidRPr="004D37FE" w:rsidRDefault="004D37FE" w:rsidP="004D37FE">
      <w:pPr>
        <w:spacing w:after="0" w:line="240" w:lineRule="auto"/>
        <w:ind w:right="-460"/>
        <w:jc w:val="center"/>
        <w:rPr>
          <w:rFonts w:cs="Calibri"/>
          <w:b/>
          <w:bCs/>
          <w:sz w:val="24"/>
          <w:szCs w:val="24"/>
        </w:rPr>
      </w:pPr>
      <w:r w:rsidRPr="004D37FE">
        <w:rPr>
          <w:rFonts w:cs="Calibri"/>
          <w:b/>
          <w:bCs/>
          <w:sz w:val="24"/>
          <w:szCs w:val="24"/>
        </w:rPr>
        <w:t>M’SILA, le 13/01/2025</w:t>
      </w:r>
    </w:p>
    <w:p w14:paraId="23E5A7B4" w14:textId="201FEDB5" w:rsidR="004D37FE" w:rsidRPr="004D37FE" w:rsidRDefault="004D37FE" w:rsidP="004D37FE">
      <w:pPr>
        <w:spacing w:after="0" w:line="240" w:lineRule="auto"/>
        <w:ind w:right="-460"/>
        <w:jc w:val="center"/>
        <w:rPr>
          <w:rFonts w:cs="Calibri"/>
          <w:b/>
          <w:bCs/>
          <w:sz w:val="24"/>
          <w:szCs w:val="24"/>
        </w:rPr>
      </w:pPr>
      <w:r w:rsidRPr="004D37FE">
        <w:rPr>
          <w:rFonts w:cs="Calibri"/>
          <w:b/>
          <w:bCs/>
          <w:sz w:val="24"/>
          <w:szCs w:val="24"/>
        </w:rPr>
        <w:t>Directeur de thèse</w:t>
      </w:r>
    </w:p>
    <w:p w14:paraId="4C1AAA1A" w14:textId="03EF0A5B" w:rsidR="004D37FE" w:rsidRPr="004D37FE" w:rsidRDefault="004D37FE" w:rsidP="004D37FE">
      <w:pPr>
        <w:spacing w:after="0" w:line="240" w:lineRule="auto"/>
        <w:ind w:right="-460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D37FE">
        <w:rPr>
          <w:rFonts w:cs="Calibri"/>
          <w:b/>
          <w:bCs/>
          <w:sz w:val="24"/>
          <w:szCs w:val="24"/>
        </w:rPr>
        <w:t>NOUIBAT Brahim</w:t>
      </w:r>
    </w:p>
    <w:p w14:paraId="3169112B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9D83DD7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6028ED97" w14:textId="383CD571" w:rsidR="004D37FE" w:rsidRDefault="004D37FE" w:rsidP="004D37FE">
      <w:pPr>
        <w:spacing w:after="0" w:line="240" w:lineRule="auto"/>
        <w:ind w:right="-460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noProof/>
        </w:rPr>
        <w:drawing>
          <wp:inline distT="0" distB="0" distL="0" distR="0" wp14:anchorId="10D5186F" wp14:editId="18CDC422">
            <wp:extent cx="1623060" cy="1597248"/>
            <wp:effectExtent l="0" t="0" r="0" b="0"/>
            <wp:docPr id="2514152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15201" name="Image 25141520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16" cy="160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6B15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44B7C73D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0F456AC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125A899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25E28A02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29C2A68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DEB7274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117D79C8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739A4B08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29643B21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181DDEAB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47241F89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0F6E82EE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9BF15D6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127B9DE2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4BF5A3AC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4EDBB3E6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2F48E637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56AF605A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04BB8672" w14:textId="77777777" w:rsidR="004D37FE" w:rsidRDefault="004D37FE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</w:p>
    <w:p w14:paraId="0677FA77" w14:textId="21102DD8" w:rsidR="00441BBE" w:rsidRPr="00D355F2" w:rsidRDefault="0013340B" w:rsidP="004D37FE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  <w:r w:rsidRPr="00D355F2">
        <w:rPr>
          <w:rFonts w:asciiTheme="majorBidi" w:hAnsiTheme="majorBidi" w:cstheme="majorBidi"/>
          <w:i/>
          <w:iCs/>
          <w:sz w:val="20"/>
          <w:szCs w:val="20"/>
        </w:rPr>
        <w:t xml:space="preserve"> – L’affiliation du </w:t>
      </w:r>
      <w:r w:rsidR="00441BBE" w:rsidRPr="00D355F2">
        <w:rPr>
          <w:rFonts w:asciiTheme="majorBidi" w:hAnsiTheme="majorBidi" w:cstheme="majorBidi"/>
          <w:i/>
          <w:iCs/>
          <w:sz w:val="20"/>
          <w:szCs w:val="20"/>
        </w:rPr>
        <w:t>laboratoire et de l’établissement d’inscription dans la thèse doit figurer dans l’article publié par le doctorant.</w:t>
      </w:r>
    </w:p>
    <w:p w14:paraId="43D05550" w14:textId="7D420306" w:rsidR="00441BBE" w:rsidRPr="00D355F2" w:rsidRDefault="00441BBE" w:rsidP="0013340B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  <w:r w:rsidRPr="00D355F2">
        <w:rPr>
          <w:rFonts w:asciiTheme="majorBidi" w:hAnsiTheme="majorBidi" w:cstheme="majorBidi"/>
          <w:i/>
          <w:iCs/>
          <w:sz w:val="20"/>
          <w:szCs w:val="20"/>
        </w:rPr>
        <w:t xml:space="preserve">2 – Revues appartenant à la catégorie A ou B (pour les domaines du S et T), et revues appartenant à la catégorie A ou B ou C (revues </w:t>
      </w:r>
      <w:r w:rsidR="003C7CF5" w:rsidRPr="00D355F2">
        <w:rPr>
          <w:rFonts w:asciiTheme="majorBidi" w:hAnsiTheme="majorBidi" w:cstheme="majorBidi"/>
          <w:i/>
          <w:iCs/>
          <w:sz w:val="20"/>
          <w:szCs w:val="20"/>
        </w:rPr>
        <w:t>algériennes) (</w:t>
      </w:r>
      <w:r w:rsidRPr="00D355F2">
        <w:rPr>
          <w:rFonts w:asciiTheme="majorBidi" w:hAnsiTheme="majorBidi" w:cstheme="majorBidi"/>
          <w:i/>
          <w:iCs/>
          <w:sz w:val="20"/>
          <w:szCs w:val="20"/>
        </w:rPr>
        <w:t>pour les domaines du S et T).</w:t>
      </w:r>
    </w:p>
    <w:p w14:paraId="2A65ACBD" w14:textId="77777777" w:rsidR="00441BBE" w:rsidRPr="00D355F2" w:rsidRDefault="00441BBE" w:rsidP="0013340B">
      <w:pPr>
        <w:spacing w:after="0" w:line="240" w:lineRule="auto"/>
        <w:ind w:right="-460"/>
        <w:rPr>
          <w:rFonts w:asciiTheme="majorBidi" w:hAnsiTheme="majorBidi" w:cstheme="majorBidi"/>
          <w:i/>
          <w:iCs/>
          <w:sz w:val="20"/>
          <w:szCs w:val="20"/>
        </w:rPr>
      </w:pPr>
      <w:r w:rsidRPr="00D355F2">
        <w:rPr>
          <w:rFonts w:asciiTheme="majorBidi" w:hAnsiTheme="majorBidi" w:cstheme="majorBidi"/>
          <w:i/>
          <w:iCs/>
          <w:sz w:val="20"/>
          <w:szCs w:val="20"/>
        </w:rPr>
        <w:t>3 – Les articles publiés chez des éditeurs prédateurs ou dans des revues prédatrices dont la liste est fixée périodiquement par la commission nationale de validation des revues scientifique, ne sont acceptés.</w:t>
      </w:r>
    </w:p>
    <w:p w14:paraId="19A09DDD" w14:textId="77777777" w:rsidR="00DB0121" w:rsidRPr="00D355F2" w:rsidRDefault="00441BBE" w:rsidP="0013340B">
      <w:pPr>
        <w:spacing w:after="0" w:line="240" w:lineRule="auto"/>
        <w:ind w:right="-460"/>
        <w:rPr>
          <w:rFonts w:ascii="Georgia" w:hAnsi="Georgia" w:cs="Calibri"/>
          <w:b/>
          <w:bCs/>
          <w:sz w:val="28"/>
          <w:szCs w:val="28"/>
        </w:rPr>
      </w:pPr>
      <w:r w:rsidRPr="00D355F2">
        <w:rPr>
          <w:rFonts w:asciiTheme="majorBidi" w:hAnsiTheme="majorBidi" w:cstheme="majorBidi"/>
          <w:i/>
          <w:iCs/>
          <w:sz w:val="20"/>
          <w:szCs w:val="20"/>
        </w:rPr>
        <w:t>4 – le doctorant doit figurer en première position, à l’exception des domaines qui adoptent alphabétique.</w:t>
      </w:r>
      <w:bookmarkStart w:id="3" w:name="Annexe3"/>
      <w:bookmarkEnd w:id="3"/>
    </w:p>
    <w:sectPr w:rsidR="00DB0121" w:rsidRPr="00D355F2" w:rsidSect="002E0EDD">
      <w:headerReference w:type="default" r:id="rId8"/>
      <w:footerReference w:type="default" r:id="rId9"/>
      <w:pgSz w:w="11906" w:h="16838"/>
      <w:pgMar w:top="709" w:right="1080" w:bottom="42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5414" w14:textId="77777777" w:rsidR="000F1563" w:rsidRDefault="000F1563" w:rsidP="00DB0121">
      <w:pPr>
        <w:spacing w:after="0" w:line="240" w:lineRule="auto"/>
      </w:pPr>
      <w:r>
        <w:separator/>
      </w:r>
    </w:p>
  </w:endnote>
  <w:endnote w:type="continuationSeparator" w:id="0">
    <w:p w14:paraId="472BB3EE" w14:textId="77777777" w:rsidR="000F1563" w:rsidRDefault="000F1563" w:rsidP="00DB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6987" w14:textId="77777777" w:rsidR="002E0EDD" w:rsidRPr="00CE4F1C" w:rsidRDefault="002E0EDD" w:rsidP="002E0EDD">
    <w:pPr>
      <w:pStyle w:val="Pieddepage"/>
      <w:pBdr>
        <w:top w:val="single" w:sz="4" w:space="1" w:color="auto"/>
      </w:pBdr>
      <w:tabs>
        <w:tab w:val="left" w:pos="4344"/>
        <w:tab w:val="right" w:pos="10490"/>
      </w:tabs>
      <w:jc w:val="right"/>
      <w:rPr>
        <w:b/>
        <w:bCs/>
        <w:sz w:val="18"/>
        <w:szCs w:val="18"/>
        <w:rtl/>
      </w:rPr>
    </w:pPr>
    <w:r w:rsidRPr="00CE4F1C">
      <w:rPr>
        <w:b/>
        <w:bCs/>
        <w:sz w:val="18"/>
        <w:szCs w:val="18"/>
      </w:rPr>
      <w:t xml:space="preserve">IGTU </w:t>
    </w:r>
    <w:proofErr w:type="spellStart"/>
    <w:r w:rsidRPr="00CE4F1C">
      <w:rPr>
        <w:b/>
        <w:bCs/>
        <w:sz w:val="18"/>
        <w:szCs w:val="18"/>
      </w:rPr>
      <w:t>Bp</w:t>
    </w:r>
    <w:proofErr w:type="spellEnd"/>
    <w:r w:rsidRPr="00CE4F1C">
      <w:rPr>
        <w:b/>
        <w:bCs/>
        <w:sz w:val="18"/>
        <w:szCs w:val="18"/>
      </w:rPr>
      <w:t xml:space="preserve"> 166 – M’sila 28000</w:t>
    </w:r>
    <w:r w:rsidRPr="00CE4F1C">
      <w:rPr>
        <w:rFonts w:hint="cs"/>
        <w:b/>
        <w:bCs/>
        <w:sz w:val="18"/>
        <w:szCs w:val="18"/>
        <w:rtl/>
      </w:rPr>
      <w:tab/>
    </w:r>
    <w:r w:rsidRPr="00CE4F1C">
      <w:rPr>
        <w:rFonts w:hint="cs"/>
        <w:b/>
        <w:bCs/>
        <w:sz w:val="18"/>
        <w:szCs w:val="18"/>
        <w:rtl/>
      </w:rPr>
      <w:tab/>
    </w:r>
    <w:r w:rsidRPr="00CE4F1C">
      <w:rPr>
        <w:b/>
        <w:bCs/>
        <w:sz w:val="18"/>
        <w:szCs w:val="18"/>
        <w:rtl/>
      </w:rPr>
      <w:tab/>
    </w:r>
    <w:r w:rsidRPr="00CE4F1C">
      <w:rPr>
        <w:rFonts w:hint="cs"/>
        <w:b/>
        <w:bCs/>
        <w:sz w:val="18"/>
        <w:szCs w:val="18"/>
        <w:rtl/>
      </w:rPr>
      <w:t xml:space="preserve">معهد تسيير التقنيات </w:t>
    </w:r>
    <w:proofErr w:type="gramStart"/>
    <w:r w:rsidRPr="00CE4F1C">
      <w:rPr>
        <w:rFonts w:hint="cs"/>
        <w:b/>
        <w:bCs/>
        <w:sz w:val="18"/>
        <w:szCs w:val="18"/>
        <w:rtl/>
      </w:rPr>
      <w:t>الحضرية</w:t>
    </w:r>
    <w:r w:rsidRPr="00CE4F1C">
      <w:rPr>
        <w:rFonts w:hint="cs"/>
        <w:b/>
        <w:bCs/>
        <w:sz w:val="18"/>
        <w:szCs w:val="18"/>
        <w:rtl/>
        <w:lang w:bidi="ar-DZ"/>
      </w:rPr>
      <w:t xml:space="preserve">  ص</w:t>
    </w:r>
    <w:proofErr w:type="gramEnd"/>
    <w:r w:rsidRPr="00CE4F1C">
      <w:rPr>
        <w:rFonts w:hint="cs"/>
        <w:b/>
        <w:bCs/>
        <w:sz w:val="18"/>
        <w:szCs w:val="18"/>
        <w:rtl/>
        <w:lang w:bidi="ar-DZ"/>
      </w:rPr>
      <w:t xml:space="preserve"> ب 166- المسيلة 28000</w:t>
    </w:r>
  </w:p>
  <w:p w14:paraId="4A8E3563" w14:textId="77777777" w:rsidR="002E0EDD" w:rsidRPr="00CE4F1C" w:rsidRDefault="002E0EDD" w:rsidP="002E0EDD">
    <w:pPr>
      <w:pStyle w:val="Pieddepage"/>
      <w:tabs>
        <w:tab w:val="right" w:pos="10490"/>
      </w:tabs>
      <w:jc w:val="right"/>
      <w:rPr>
        <w:b/>
        <w:bCs/>
        <w:sz w:val="18"/>
        <w:szCs w:val="18"/>
        <w:rtl/>
      </w:rPr>
    </w:pPr>
    <w:r w:rsidRPr="00CE4F1C">
      <w:rPr>
        <w:b/>
        <w:bCs/>
        <w:sz w:val="18"/>
        <w:szCs w:val="18"/>
      </w:rPr>
      <w:t>TEL </w:t>
    </w:r>
    <w:r w:rsidRPr="00CE4F1C">
      <w:rPr>
        <w:rFonts w:hint="cs"/>
        <w:b/>
        <w:bCs/>
        <w:sz w:val="18"/>
        <w:szCs w:val="18"/>
        <w:rtl/>
      </w:rPr>
      <w:t>/</w:t>
    </w:r>
    <w:proofErr w:type="gramStart"/>
    <w:r w:rsidRPr="00CE4F1C">
      <w:rPr>
        <w:b/>
        <w:bCs/>
        <w:sz w:val="18"/>
        <w:szCs w:val="18"/>
      </w:rPr>
      <w:t>FAX:</w:t>
    </w:r>
    <w:proofErr w:type="gramEnd"/>
    <w:r w:rsidRPr="00CE4F1C">
      <w:rPr>
        <w:rFonts w:hint="cs"/>
        <w:b/>
        <w:bCs/>
        <w:sz w:val="18"/>
        <w:szCs w:val="18"/>
        <w:rtl/>
      </w:rPr>
      <w:t xml:space="preserve"> 0</w:t>
    </w:r>
    <w:r w:rsidRPr="00CE4F1C">
      <w:rPr>
        <w:b/>
        <w:bCs/>
        <w:sz w:val="18"/>
        <w:szCs w:val="18"/>
      </w:rPr>
      <w:t>35 33 23 13</w:t>
    </w:r>
    <w:r w:rsidRPr="00CE4F1C">
      <w:rPr>
        <w:rFonts w:hint="cs"/>
        <w:b/>
        <w:bCs/>
        <w:sz w:val="18"/>
        <w:szCs w:val="18"/>
        <w:rtl/>
      </w:rPr>
      <w:tab/>
    </w:r>
    <w:r w:rsidRPr="00CE4F1C">
      <w:rPr>
        <w:rFonts w:hint="cs"/>
        <w:b/>
        <w:bCs/>
        <w:sz w:val="18"/>
        <w:szCs w:val="18"/>
        <w:rtl/>
      </w:rPr>
      <w:tab/>
      <w:t>0</w:t>
    </w:r>
    <w:r w:rsidRPr="00CE4F1C">
      <w:rPr>
        <w:b/>
        <w:bCs/>
        <w:sz w:val="18"/>
        <w:szCs w:val="18"/>
      </w:rPr>
      <w:t>35 33 23 13</w:t>
    </w:r>
    <w:r w:rsidRPr="00CE4F1C">
      <w:rPr>
        <w:rFonts w:hint="cs"/>
        <w:b/>
        <w:bCs/>
        <w:sz w:val="18"/>
        <w:szCs w:val="18"/>
        <w:rtl/>
      </w:rPr>
      <w:t>الهاتف/ الفاكس 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BEEA" w14:textId="77777777" w:rsidR="000F1563" w:rsidRDefault="000F1563" w:rsidP="00DB0121">
      <w:pPr>
        <w:spacing w:after="0" w:line="240" w:lineRule="auto"/>
      </w:pPr>
      <w:r>
        <w:separator/>
      </w:r>
    </w:p>
  </w:footnote>
  <w:footnote w:type="continuationSeparator" w:id="0">
    <w:p w14:paraId="2AFA4622" w14:textId="77777777" w:rsidR="000F1563" w:rsidRDefault="000F1563" w:rsidP="00DB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FF29" w14:textId="186187A5" w:rsidR="002E0EDD" w:rsidRPr="002E0EDD" w:rsidRDefault="002E0EDD" w:rsidP="002E0EDD">
    <w:pPr>
      <w:pStyle w:val="Titre4"/>
      <w:spacing w:before="0" w:line="160" w:lineRule="exact"/>
      <w:jc w:val="center"/>
      <w:rPr>
        <w:rFonts w:ascii="Tahoma" w:eastAsiaTheme="minorEastAsia" w:hAnsi="Tahoma" w:cs="Tahoma"/>
        <w:b/>
        <w:bCs/>
        <w:i w:val="0"/>
        <w:iCs w:val="0"/>
        <w:color w:val="auto"/>
        <w:sz w:val="14"/>
        <w:szCs w:val="14"/>
        <w:lang w:val="fr-FR" w:eastAsia="fr-FR" w:bidi="ar-DZ"/>
      </w:rPr>
    </w:pPr>
    <w:r>
      <w:rPr>
        <w:rFonts w:ascii="Tahoma" w:eastAsia="Calibri" w:hAnsi="Tahoma" w:cs="Tahoma"/>
        <w:b/>
        <w:bCs/>
        <w:noProof/>
        <w:sz w:val="14"/>
        <w:szCs w:val="14"/>
        <w:rtl/>
        <w:lang w:val="fr-FR" w:eastAsia="fr-FR"/>
      </w:rPr>
      <w:drawing>
        <wp:anchor distT="0" distB="0" distL="114300" distR="114300" simplePos="0" relativeHeight="251660288" behindDoc="0" locked="0" layoutInCell="1" allowOverlap="1" wp14:anchorId="6F9020D8" wp14:editId="07490412">
          <wp:simplePos x="0" y="0"/>
          <wp:positionH relativeFrom="margin">
            <wp:posOffset>5159284</wp:posOffset>
          </wp:positionH>
          <wp:positionV relativeFrom="paragraph">
            <wp:posOffset>82187</wp:posOffset>
          </wp:positionV>
          <wp:extent cx="1143544" cy="1123406"/>
          <wp:effectExtent l="19050" t="0" r="0" b="0"/>
          <wp:wrapNone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inal-umbm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544" cy="112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0EDD">
      <w:rPr>
        <w:rFonts w:ascii="Tahoma" w:eastAsiaTheme="minorEastAsia" w:hAnsi="Tahoma" w:cs="Tahoma"/>
        <w:b/>
        <w:bCs/>
        <w:i w:val="0"/>
        <w:iCs w:val="0"/>
        <w:color w:val="auto"/>
        <w:sz w:val="14"/>
        <w:szCs w:val="14"/>
        <w:lang w:val="fr-FR" w:eastAsia="fr-FR" w:bidi="ar-DZ"/>
      </w:rPr>
      <w:t>EPUBLIQUE ALGERIENNE DEMOCRATIQUE ET POPULAIRE</w:t>
    </w:r>
  </w:p>
  <w:p w14:paraId="3531A388" w14:textId="77777777" w:rsidR="002E0EDD" w:rsidRPr="002E0EDD" w:rsidRDefault="002E0EDD" w:rsidP="002E0EDD">
    <w:pPr>
      <w:tabs>
        <w:tab w:val="left" w:pos="993"/>
      </w:tabs>
      <w:spacing w:line="160" w:lineRule="exact"/>
      <w:contextualSpacing/>
      <w:jc w:val="center"/>
      <w:rPr>
        <w:rFonts w:ascii="Sakkal Majalla" w:hAnsi="Sakkal Majalla" w:cs="Sakkal Majalla"/>
        <w:b/>
        <w:bCs/>
        <w:sz w:val="14"/>
        <w:szCs w:val="14"/>
        <w:rtl/>
      </w:rPr>
    </w:pPr>
    <w:r>
      <w:rPr>
        <w:rFonts w:ascii="Sakkal Majalla" w:hAnsi="Sakkal Majalla" w:cs="Sakkal Majalla"/>
        <w:b/>
        <w:bCs/>
        <w:noProof/>
        <w:rtl/>
        <w:lang w:eastAsia="fr-FR"/>
      </w:rPr>
      <w:drawing>
        <wp:anchor distT="0" distB="0" distL="114300" distR="114300" simplePos="0" relativeHeight="251659264" behindDoc="0" locked="0" layoutInCell="1" allowOverlap="1" wp14:anchorId="172DD4EC" wp14:editId="544E25EB">
          <wp:simplePos x="0" y="0"/>
          <wp:positionH relativeFrom="margin">
            <wp:posOffset>12518</wp:posOffset>
          </wp:positionH>
          <wp:positionV relativeFrom="paragraph">
            <wp:posOffset>6713</wp:posOffset>
          </wp:positionV>
          <wp:extent cx="1012916" cy="1084217"/>
          <wp:effectExtent l="19050" t="0" r="0" b="0"/>
          <wp:wrapNone/>
          <wp:docPr id="5" name="Image 5" descr="G:\GTU-officiel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GTU-officiel-LOGO.png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19" t="26547" r="24332" b="25776"/>
                  <a:stretch/>
                </pic:blipFill>
                <pic:spPr bwMode="auto">
                  <a:xfrm>
                    <a:off x="0" y="0"/>
                    <a:ext cx="1012916" cy="1084217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2E0EDD">
      <w:rPr>
        <w:rFonts w:ascii="Sakkal Majalla" w:hAnsi="Sakkal Majalla" w:cs="Sakkal Majalla"/>
        <w:b/>
        <w:bCs/>
        <w:rtl/>
      </w:rPr>
      <w:t>وزارة التـــــــعليم العــــــالي والبحـــــث العـلــــــــــمي</w:t>
    </w:r>
  </w:p>
  <w:p w14:paraId="4C5B77DD" w14:textId="77777777" w:rsidR="002E0EDD" w:rsidRPr="002E0EDD" w:rsidRDefault="002E0EDD" w:rsidP="002E0EDD">
    <w:pPr>
      <w:pStyle w:val="Titre4"/>
      <w:spacing w:before="0" w:line="160" w:lineRule="exact"/>
      <w:jc w:val="center"/>
      <w:rPr>
        <w:rFonts w:ascii="Tahoma" w:eastAsiaTheme="minorEastAsia" w:hAnsi="Tahoma" w:cs="Tahoma"/>
        <w:b/>
        <w:bCs/>
        <w:i w:val="0"/>
        <w:iCs w:val="0"/>
        <w:color w:val="auto"/>
        <w:sz w:val="14"/>
        <w:szCs w:val="14"/>
        <w:lang w:val="fr-FR" w:eastAsia="fr-FR" w:bidi="ar-DZ"/>
      </w:rPr>
    </w:pPr>
    <w:r w:rsidRPr="002E0EDD">
      <w:rPr>
        <w:rFonts w:ascii="Tahoma" w:eastAsiaTheme="minorEastAsia" w:hAnsi="Tahoma" w:cs="Tahoma"/>
        <w:b/>
        <w:bCs/>
        <w:i w:val="0"/>
        <w:iCs w:val="0"/>
        <w:color w:val="auto"/>
        <w:sz w:val="14"/>
        <w:szCs w:val="14"/>
        <w:lang w:val="fr-FR" w:eastAsia="fr-FR" w:bidi="ar-DZ"/>
      </w:rPr>
      <w:t>MINISTERE DE L’ENSEIGNEMENT SUPERIEUR ET DE LA RECHERCHE SCIENTIFIQUE</w:t>
    </w:r>
  </w:p>
  <w:p w14:paraId="6C1242DB" w14:textId="77777777" w:rsidR="002E0EDD" w:rsidRPr="002E0EDD" w:rsidRDefault="002E0EDD" w:rsidP="002E0EDD">
    <w:pPr>
      <w:tabs>
        <w:tab w:val="left" w:pos="993"/>
      </w:tabs>
      <w:spacing w:line="160" w:lineRule="exact"/>
      <w:contextualSpacing/>
      <w:jc w:val="center"/>
      <w:rPr>
        <w:rFonts w:ascii="Sakkal Majalla" w:hAnsi="Sakkal Majalla" w:cs="Sakkal Majalla"/>
        <w:b/>
        <w:bCs/>
        <w:rtl/>
      </w:rPr>
    </w:pPr>
    <w:r w:rsidRPr="002E0EDD">
      <w:rPr>
        <w:rFonts w:ascii="Sakkal Majalla" w:hAnsi="Sakkal Majalla" w:cs="Sakkal Majalla"/>
        <w:b/>
        <w:bCs/>
        <w:rtl/>
      </w:rPr>
      <w:t>جامــــــعة محمــد بوضيـاف – المســــيلة</w:t>
    </w:r>
  </w:p>
  <w:p w14:paraId="139BC924" w14:textId="77777777" w:rsidR="002E0EDD" w:rsidRPr="002E0EDD" w:rsidRDefault="002E0EDD" w:rsidP="002E0EDD">
    <w:pPr>
      <w:pStyle w:val="Titre4"/>
      <w:tabs>
        <w:tab w:val="center" w:pos="4189"/>
        <w:tab w:val="left" w:pos="7455"/>
      </w:tabs>
      <w:spacing w:before="0" w:line="160" w:lineRule="exact"/>
      <w:jc w:val="center"/>
      <w:rPr>
        <w:rFonts w:ascii="ae_AlMateen" w:eastAsiaTheme="minorEastAsia" w:hAnsi="ae_AlMateen" w:cs="ae_AlMateen"/>
        <w:b/>
        <w:bCs/>
        <w:i w:val="0"/>
        <w:iCs w:val="0"/>
        <w:color w:val="auto"/>
        <w:sz w:val="16"/>
        <w:szCs w:val="16"/>
        <w:rtl/>
        <w:lang w:val="fr-FR" w:eastAsia="fr-FR" w:bidi="ar-DZ"/>
      </w:rPr>
    </w:pPr>
    <w:r w:rsidRPr="002E0EDD">
      <w:rPr>
        <w:rFonts w:ascii="ae_AlMateen" w:eastAsiaTheme="minorEastAsia" w:hAnsi="ae_AlMateen" w:cs="ae_AlMateen"/>
        <w:b/>
        <w:bCs/>
        <w:i w:val="0"/>
        <w:iCs w:val="0"/>
        <w:color w:val="auto"/>
        <w:sz w:val="16"/>
        <w:szCs w:val="16"/>
        <w:lang w:val="fr-FR" w:eastAsia="fr-FR" w:bidi="ar-DZ"/>
      </w:rPr>
      <w:t>Université Mohamed Boudiaf - M'SILA</w:t>
    </w:r>
  </w:p>
  <w:p w14:paraId="5A802E09" w14:textId="77777777" w:rsidR="002E0EDD" w:rsidRPr="002E0EDD" w:rsidRDefault="002E0EDD" w:rsidP="002E0EDD">
    <w:pPr>
      <w:tabs>
        <w:tab w:val="left" w:pos="993"/>
      </w:tabs>
      <w:spacing w:line="160" w:lineRule="exact"/>
      <w:contextualSpacing/>
      <w:jc w:val="center"/>
      <w:rPr>
        <w:rFonts w:ascii="Sakkal Majalla" w:hAnsi="Sakkal Majalla" w:cs="Sakkal Majalla"/>
        <w:b/>
        <w:bCs/>
        <w:rtl/>
      </w:rPr>
    </w:pPr>
    <w:r w:rsidRPr="002E0EDD">
      <w:rPr>
        <w:rFonts w:ascii="Sakkal Majalla" w:hAnsi="Sakkal Majalla" w:cs="Sakkal Majalla"/>
        <w:b/>
        <w:bCs/>
        <w:rtl/>
      </w:rPr>
      <w:t>معـهد تســيير التقنــــيات الحضـــــــــــرية</w:t>
    </w:r>
  </w:p>
  <w:p w14:paraId="027305CF" w14:textId="77777777" w:rsidR="002E0EDD" w:rsidRPr="002E0EDD" w:rsidRDefault="002E0EDD" w:rsidP="002E0EDD">
    <w:pPr>
      <w:pStyle w:val="Titre4"/>
      <w:spacing w:before="0" w:line="160" w:lineRule="exact"/>
      <w:jc w:val="center"/>
      <w:rPr>
        <w:rFonts w:ascii="ae_AlMateen" w:eastAsiaTheme="minorEastAsia" w:hAnsi="ae_AlMateen" w:cs="ae_AlMateen"/>
        <w:b/>
        <w:bCs/>
        <w:i w:val="0"/>
        <w:iCs w:val="0"/>
        <w:color w:val="auto"/>
        <w:sz w:val="14"/>
        <w:szCs w:val="14"/>
        <w:lang w:val="fr-FR" w:eastAsia="fr-FR" w:bidi="ar-DZ"/>
      </w:rPr>
    </w:pPr>
    <w:r w:rsidRPr="002E0EDD">
      <w:rPr>
        <w:rFonts w:ascii="ae_AlMateen" w:eastAsiaTheme="minorEastAsia" w:hAnsi="ae_AlMateen" w:cs="ae_AlMateen"/>
        <w:b/>
        <w:bCs/>
        <w:i w:val="0"/>
        <w:iCs w:val="0"/>
        <w:color w:val="auto"/>
        <w:sz w:val="14"/>
        <w:szCs w:val="14"/>
        <w:lang w:val="fr-FR" w:eastAsia="fr-FR" w:bidi="ar-DZ"/>
      </w:rPr>
      <w:t>Institut de Gestion des Techniques Urbaines</w:t>
    </w:r>
  </w:p>
  <w:p w14:paraId="11B29751" w14:textId="77777777" w:rsidR="002E0EDD" w:rsidRPr="002E0EDD" w:rsidRDefault="002E0EDD" w:rsidP="002E0EDD">
    <w:pPr>
      <w:tabs>
        <w:tab w:val="left" w:pos="993"/>
      </w:tabs>
      <w:bidi/>
      <w:spacing w:line="160" w:lineRule="exact"/>
      <w:contextualSpacing/>
      <w:jc w:val="center"/>
      <w:rPr>
        <w:rFonts w:ascii="Sakkal Majalla" w:hAnsi="Sakkal Majalla" w:cs="Sakkal Majalla"/>
        <w:b/>
        <w:bCs/>
        <w:sz w:val="14"/>
        <w:szCs w:val="14"/>
        <w:rtl/>
      </w:rPr>
    </w:pPr>
    <w:r w:rsidRPr="002E0EDD">
      <w:rPr>
        <w:rFonts w:ascii="Sakkal Majalla" w:hAnsi="Sakkal Majalla" w:cs="Sakkal Majalla"/>
        <w:b/>
        <w:bCs/>
        <w:rtl/>
      </w:rPr>
      <w:t>المد</w:t>
    </w:r>
    <w:r w:rsidRPr="002E0EDD">
      <w:rPr>
        <w:rFonts w:ascii="Sakkal Majalla" w:hAnsi="Sakkal Majalla" w:cs="Sakkal Majalla" w:hint="cs"/>
        <w:b/>
        <w:bCs/>
        <w:rtl/>
      </w:rPr>
      <w:t>ي</w:t>
    </w:r>
    <w:r w:rsidRPr="002E0EDD">
      <w:rPr>
        <w:rFonts w:ascii="Sakkal Majalla" w:hAnsi="Sakkal Majalla" w:cs="Sakkal Majalla"/>
        <w:b/>
        <w:bCs/>
        <w:rtl/>
      </w:rPr>
      <w:t xml:space="preserve">رية المكلفة بما بعد التدرج </w:t>
    </w:r>
    <w:proofErr w:type="gramStart"/>
    <w:r w:rsidRPr="002E0EDD">
      <w:rPr>
        <w:rFonts w:ascii="Sakkal Majalla" w:hAnsi="Sakkal Majalla" w:cs="Sakkal Majalla"/>
        <w:b/>
        <w:bCs/>
        <w:rtl/>
      </w:rPr>
      <w:t>و</w:t>
    </w:r>
    <w:r>
      <w:rPr>
        <w:rFonts w:ascii="Sakkal Majalla" w:hAnsi="Sakkal Majalla" w:cs="Sakkal Majalla"/>
        <w:b/>
        <w:bCs/>
      </w:rPr>
      <w:t xml:space="preserve"> </w:t>
    </w:r>
    <w:r w:rsidRPr="002E0EDD">
      <w:rPr>
        <w:rFonts w:ascii="Sakkal Majalla" w:hAnsi="Sakkal Majalla" w:cs="Sakkal Majalla"/>
        <w:b/>
        <w:bCs/>
        <w:rtl/>
      </w:rPr>
      <w:t>البحـث</w:t>
    </w:r>
    <w:proofErr w:type="gramEnd"/>
    <w:r>
      <w:rPr>
        <w:rFonts w:ascii="Sakkal Majalla" w:hAnsi="Sakkal Majalla" w:cs="Sakkal Majalla"/>
        <w:b/>
        <w:bCs/>
      </w:rPr>
      <w:t xml:space="preserve"> </w:t>
    </w:r>
    <w:r w:rsidRPr="002E0EDD">
      <w:rPr>
        <w:rFonts w:ascii="Sakkal Majalla" w:hAnsi="Sakkal Majalla" w:cs="Sakkal Majalla"/>
        <w:b/>
        <w:bCs/>
        <w:rtl/>
      </w:rPr>
      <w:t>العلمــي</w:t>
    </w:r>
    <w:r>
      <w:rPr>
        <w:rFonts w:ascii="Sakkal Majalla" w:hAnsi="Sakkal Majalla" w:cs="Sakkal Majalla"/>
        <w:b/>
        <w:bCs/>
      </w:rPr>
      <w:t xml:space="preserve"> </w:t>
    </w:r>
    <w:r w:rsidRPr="002E0EDD">
      <w:rPr>
        <w:rFonts w:ascii="Sakkal Majalla" w:hAnsi="Sakkal Majalla" w:cs="Sakkal Majalla"/>
        <w:b/>
        <w:bCs/>
        <w:rtl/>
      </w:rPr>
      <w:t>والعلاقات الخارجية</w:t>
    </w:r>
  </w:p>
  <w:p w14:paraId="0B63ABFD" w14:textId="77777777" w:rsidR="002E0EDD" w:rsidRPr="002E0EDD" w:rsidRDefault="002E0EDD" w:rsidP="002E0EDD">
    <w:pPr>
      <w:pStyle w:val="Titre4"/>
      <w:pBdr>
        <w:bottom w:val="thinThickThinSmallGap" w:sz="24" w:space="1" w:color="auto"/>
      </w:pBdr>
      <w:spacing w:before="0" w:line="160" w:lineRule="exact"/>
      <w:jc w:val="center"/>
      <w:rPr>
        <w:rFonts w:ascii="ae_AlMateen" w:eastAsiaTheme="minorEastAsia" w:hAnsi="ae_AlMateen" w:cs="ae_AlMateen"/>
        <w:b/>
        <w:bCs/>
        <w:i w:val="0"/>
        <w:iCs w:val="0"/>
        <w:color w:val="auto"/>
        <w:sz w:val="14"/>
        <w:szCs w:val="14"/>
        <w:lang w:val="fr-FR" w:eastAsia="fr-FR" w:bidi="ar-DZ"/>
      </w:rPr>
    </w:pPr>
    <w:proofErr w:type="gramStart"/>
    <w:r w:rsidRPr="002E0EDD">
      <w:rPr>
        <w:rFonts w:ascii="ae_AlMateen" w:eastAsiaTheme="minorEastAsia" w:hAnsi="ae_AlMateen" w:cs="ae_AlMateen"/>
        <w:b/>
        <w:bCs/>
        <w:i w:val="0"/>
        <w:iCs w:val="0"/>
        <w:color w:val="auto"/>
        <w:sz w:val="14"/>
        <w:szCs w:val="14"/>
        <w:lang w:val="fr-FR" w:eastAsia="fr-FR" w:bidi="ar-DZ"/>
      </w:rPr>
      <w:t>Direction chargé</w:t>
    </w:r>
    <w:proofErr w:type="gramEnd"/>
    <w:r w:rsidRPr="002E0EDD">
      <w:rPr>
        <w:rFonts w:ascii="ae_AlMateen" w:eastAsiaTheme="minorEastAsia" w:hAnsi="ae_AlMateen" w:cs="ae_AlMateen"/>
        <w:b/>
        <w:bCs/>
        <w:i w:val="0"/>
        <w:iCs w:val="0"/>
        <w:color w:val="auto"/>
        <w:sz w:val="14"/>
        <w:szCs w:val="14"/>
        <w:lang w:val="fr-FR" w:eastAsia="fr-FR" w:bidi="ar-DZ"/>
      </w:rPr>
      <w:t xml:space="preserve"> de la post-graduation de et des relations extérieures</w:t>
    </w:r>
  </w:p>
  <w:p w14:paraId="09C9BDD0" w14:textId="77777777" w:rsidR="0041011B" w:rsidRPr="002E0EDD" w:rsidRDefault="0041011B" w:rsidP="002E0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bCs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7044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355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121"/>
    <w:rsid w:val="000934BC"/>
    <w:rsid w:val="000D37E1"/>
    <w:rsid w:val="000F1563"/>
    <w:rsid w:val="001002A0"/>
    <w:rsid w:val="001265A1"/>
    <w:rsid w:val="0013340B"/>
    <w:rsid w:val="001459EC"/>
    <w:rsid w:val="0018610C"/>
    <w:rsid w:val="001A53BE"/>
    <w:rsid w:val="001C4116"/>
    <w:rsid w:val="001E2879"/>
    <w:rsid w:val="001F0D96"/>
    <w:rsid w:val="002036A0"/>
    <w:rsid w:val="00220226"/>
    <w:rsid w:val="00241FA1"/>
    <w:rsid w:val="002E0EDD"/>
    <w:rsid w:val="002E1809"/>
    <w:rsid w:val="003223D5"/>
    <w:rsid w:val="0037443D"/>
    <w:rsid w:val="003C7CF5"/>
    <w:rsid w:val="003F4D9D"/>
    <w:rsid w:val="00405DBB"/>
    <w:rsid w:val="0041011B"/>
    <w:rsid w:val="004220DC"/>
    <w:rsid w:val="004220F3"/>
    <w:rsid w:val="00423B40"/>
    <w:rsid w:val="00441BBE"/>
    <w:rsid w:val="004D37FE"/>
    <w:rsid w:val="004F4975"/>
    <w:rsid w:val="00503074"/>
    <w:rsid w:val="0050421E"/>
    <w:rsid w:val="00556C3E"/>
    <w:rsid w:val="00561CE2"/>
    <w:rsid w:val="005A1117"/>
    <w:rsid w:val="005C5310"/>
    <w:rsid w:val="00606664"/>
    <w:rsid w:val="006201F0"/>
    <w:rsid w:val="006B4933"/>
    <w:rsid w:val="006C5EBD"/>
    <w:rsid w:val="006D7AAF"/>
    <w:rsid w:val="006E2591"/>
    <w:rsid w:val="007F65A7"/>
    <w:rsid w:val="00834D91"/>
    <w:rsid w:val="008D7766"/>
    <w:rsid w:val="0092439D"/>
    <w:rsid w:val="00984929"/>
    <w:rsid w:val="00A45064"/>
    <w:rsid w:val="00A4539F"/>
    <w:rsid w:val="00A57DB2"/>
    <w:rsid w:val="00A67563"/>
    <w:rsid w:val="00AB06AD"/>
    <w:rsid w:val="00B1172C"/>
    <w:rsid w:val="00B91C14"/>
    <w:rsid w:val="00B96DD5"/>
    <w:rsid w:val="00BD2581"/>
    <w:rsid w:val="00BD5E12"/>
    <w:rsid w:val="00BF2AE1"/>
    <w:rsid w:val="00C32D22"/>
    <w:rsid w:val="00CA6BBC"/>
    <w:rsid w:val="00CA71A7"/>
    <w:rsid w:val="00CD7BB3"/>
    <w:rsid w:val="00D11E75"/>
    <w:rsid w:val="00D23FB4"/>
    <w:rsid w:val="00D355F2"/>
    <w:rsid w:val="00DB0121"/>
    <w:rsid w:val="00DB5408"/>
    <w:rsid w:val="00DB594C"/>
    <w:rsid w:val="00DE7609"/>
    <w:rsid w:val="00DF6102"/>
    <w:rsid w:val="00E11948"/>
    <w:rsid w:val="00E24DD3"/>
    <w:rsid w:val="00E577FD"/>
    <w:rsid w:val="00E676B8"/>
    <w:rsid w:val="00E81C00"/>
    <w:rsid w:val="00EA641A"/>
    <w:rsid w:val="00F1543E"/>
    <w:rsid w:val="00F730C4"/>
    <w:rsid w:val="00F8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030F632"/>
  <w15:docId w15:val="{82343042-73FF-49F3-954F-B8F951DA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7E1"/>
    <w:pPr>
      <w:spacing w:after="160" w:line="256" w:lineRule="auto"/>
    </w:pPr>
    <w:rPr>
      <w:rFonts w:ascii="Calibri" w:eastAsia="Calibri" w:hAnsi="Calibri" w:cs="Ari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0ED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012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0121"/>
    <w:rPr>
      <w:rFonts w:ascii="Calibri" w:eastAsia="Calibri" w:hAnsi="Calibri" w:cs="Arial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DB0121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B0121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4506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10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11B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10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11B"/>
    <w:rPr>
      <w:rFonts w:ascii="Calibri" w:eastAsia="Calibri" w:hAnsi="Calibri" w:cs="Arial"/>
    </w:rPr>
  </w:style>
  <w:style w:type="character" w:customStyle="1" w:styleId="Titre4Car">
    <w:name w:val="Titre 4 Car"/>
    <w:basedOn w:val="Policepardfaut"/>
    <w:link w:val="Titre4"/>
    <w:uiPriority w:val="9"/>
    <w:rsid w:val="002E0EDD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NB</cp:lastModifiedBy>
  <cp:revision>7</cp:revision>
  <dcterms:created xsi:type="dcterms:W3CDTF">2025-01-09T16:46:00Z</dcterms:created>
  <dcterms:modified xsi:type="dcterms:W3CDTF">2025-01-12T21:07:00Z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b6fd599c9a71a1168c1b8b6440426a1bcc61b0e631a53b4809e6a6ab03576808</vt:lpwstr>
  </property>
</Properties>
</file>